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eastAsia="方正小标宋_GBK" w:cs="Times New Roman"/>
          <w:color w:val="auto"/>
          <w:sz w:val="44"/>
          <w:szCs w:val="44"/>
          <w:highlight w:val="none"/>
        </w:rPr>
      </w:pPr>
    </w:p>
    <w:p>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河北省国富农业投资集团有限公司</w:t>
      </w:r>
    </w:p>
    <w:p>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2023年度社会责任报告</w:t>
      </w:r>
    </w:p>
    <w:p>
      <w:pPr>
        <w:jc w:val="center"/>
        <w:rPr>
          <w:rFonts w:hint="default" w:ascii="Times New Roman" w:hAnsi="Times New Roman" w:eastAsia="方正小标宋_GBK" w:cs="Times New Roman"/>
          <w:color w:val="auto"/>
          <w:sz w:val="44"/>
          <w:szCs w:val="44"/>
          <w:highlight w:val="none"/>
          <w:lang w:val="en-US" w:eastAsia="zh-CN"/>
        </w:rPr>
      </w:pPr>
    </w:p>
    <w:p>
      <w:pPr>
        <w:rPr>
          <w:rFonts w:hint="default" w:ascii="Times New Roman" w:hAnsi="Times New Roman" w:eastAsia="方正小标宋_GBK" w:cs="Times New Roman"/>
          <w:color w:val="auto"/>
          <w:sz w:val="44"/>
          <w:szCs w:val="44"/>
          <w:highlight w:val="none"/>
        </w:rPr>
      </w:pPr>
    </w:p>
    <w:p>
      <w:pPr>
        <w:rPr>
          <w:rFonts w:hint="default" w:ascii="Times New Roman" w:hAnsi="Times New Roman" w:eastAsia="方正小标宋_GBK" w:cs="Times New Roman"/>
          <w:color w:val="auto"/>
          <w:sz w:val="44"/>
          <w:szCs w:val="44"/>
          <w:highlight w:val="none"/>
        </w:rPr>
      </w:pPr>
    </w:p>
    <w:p>
      <w:pPr>
        <w:rPr>
          <w:rFonts w:hint="default" w:ascii="Times New Roman" w:hAnsi="Times New Roman" w:eastAsia="方正小标宋_GBK" w:cs="Times New Roman"/>
          <w:color w:val="auto"/>
          <w:sz w:val="44"/>
          <w:szCs w:val="44"/>
          <w:highlight w:val="none"/>
        </w:rPr>
      </w:pPr>
    </w:p>
    <w:p>
      <w:pPr>
        <w:rPr>
          <w:rFonts w:hint="default" w:ascii="Times New Roman" w:hAnsi="Times New Roman" w:eastAsia="方正小标宋_GBK" w:cs="Times New Roman"/>
          <w:color w:val="auto"/>
          <w:sz w:val="44"/>
          <w:szCs w:val="44"/>
          <w:highlight w:val="none"/>
        </w:rPr>
      </w:pPr>
    </w:p>
    <w:p>
      <w:pPr>
        <w:rPr>
          <w:rFonts w:hint="default" w:ascii="Times New Roman" w:hAnsi="Times New Roman" w:eastAsia="方正小标宋_GBK" w:cs="Times New Roman"/>
          <w:color w:val="auto"/>
          <w:sz w:val="44"/>
          <w:szCs w:val="44"/>
          <w:highlight w:val="none"/>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p>
    <w:p>
      <w:pPr>
        <w:ind w:firstLine="3520" w:firstLineChars="1100"/>
        <w:jc w:val="both"/>
        <w:rPr>
          <w:rFonts w:hint="default" w:ascii="Times New Roman" w:hAnsi="Times New Roman" w:eastAsia="方正小标宋_GBK" w:cs="Times New Roman"/>
          <w:color w:val="auto"/>
          <w:sz w:val="32"/>
          <w:szCs w:val="32"/>
          <w:highlight w:val="none"/>
          <w:lang w:val="en-US" w:eastAsia="zh-CN"/>
        </w:rPr>
      </w:pPr>
      <w:r>
        <w:rPr>
          <w:rFonts w:hint="default" w:ascii="Times New Roman" w:hAnsi="Times New Roman" w:eastAsia="方正小标宋_GBK" w:cs="Times New Roman"/>
          <w:color w:val="auto"/>
          <w:sz w:val="32"/>
          <w:szCs w:val="32"/>
          <w:highlight w:val="none"/>
          <w:lang w:val="en-US" w:eastAsia="zh-CN"/>
        </w:rPr>
        <w:t>2024年6月</w:t>
      </w:r>
    </w:p>
    <w:p>
      <w:pPr>
        <w:adjustRightInd w:val="0"/>
        <w:snapToGrid w:val="0"/>
        <w:spacing w:line="560" w:lineRule="exact"/>
        <w:rPr>
          <w:rFonts w:hint="default" w:ascii="Times New Roman" w:hAnsi="Times New Roman" w:eastAsia="黑体" w:cs="Times New Roman"/>
          <w:color w:val="auto"/>
          <w:sz w:val="32"/>
          <w:szCs w:val="32"/>
          <w:highlight w:val="none"/>
        </w:rPr>
      </w:pPr>
    </w:p>
    <w:p>
      <w:pPr>
        <w:adjustRightInd w:val="0"/>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报告</w:t>
      </w:r>
      <w:r>
        <w:rPr>
          <w:rFonts w:hint="default" w:ascii="Times New Roman" w:hAnsi="Times New Roman" w:eastAsia="黑体" w:cs="Times New Roman"/>
          <w:color w:val="auto"/>
          <w:sz w:val="32"/>
          <w:szCs w:val="32"/>
          <w:highlight w:val="none"/>
          <w:lang w:val="en-US" w:eastAsia="zh-CN"/>
        </w:rPr>
        <w:t>导读</w:t>
      </w:r>
    </w:p>
    <w:p>
      <w:pPr>
        <w:adjustRightInd w:val="0"/>
        <w:snapToGrid w:val="0"/>
        <w:spacing w:line="560" w:lineRule="exact"/>
        <w:rPr>
          <w:rFonts w:hint="default" w:ascii="Times New Roman" w:hAnsi="Times New Roman" w:cs="Times New Roman"/>
          <w:color w:val="auto"/>
          <w:highlight w:val="none"/>
        </w:rPr>
      </w:pPr>
    </w:p>
    <w:p>
      <w:pPr>
        <w:adjustRightInd w:val="0"/>
        <w:snapToGrid w:val="0"/>
        <w:spacing w:line="560" w:lineRule="exac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报告时间范围</w:t>
      </w:r>
    </w:p>
    <w:p>
      <w:pPr>
        <w:adjustRightInd w:val="0"/>
        <w:snapToGrid w:val="0"/>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本报告的时间跨度是 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 年 1 月 1 日至 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 年 12 月 31 日，为增强报告的可比性，部分内容超出上述范围。</w:t>
      </w:r>
    </w:p>
    <w:p>
      <w:pPr>
        <w:adjustRightInd w:val="0"/>
        <w:snapToGrid w:val="0"/>
        <w:spacing w:line="560" w:lineRule="exact"/>
        <w:rPr>
          <w:rFonts w:hint="default" w:ascii="Times New Roman" w:hAnsi="Times New Roman" w:cs="Times New Roman"/>
          <w:color w:val="auto"/>
          <w:highlight w:val="none"/>
        </w:rPr>
      </w:pPr>
    </w:p>
    <w:p>
      <w:pPr>
        <w:adjustRightInd w:val="0"/>
        <w:snapToGrid w:val="0"/>
        <w:spacing w:line="560" w:lineRule="exac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报告组织范围</w:t>
      </w:r>
    </w:p>
    <w:p>
      <w:pPr>
        <w:adjustRightInd w:val="0"/>
        <w:snapToGrid w:val="0"/>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报告以“</w:t>
      </w:r>
      <w:r>
        <w:rPr>
          <w:rFonts w:hint="default" w:ascii="Times New Roman" w:hAnsi="Times New Roman" w:eastAsia="仿宋_GB2312" w:cs="Times New Roman"/>
          <w:color w:val="auto"/>
          <w:sz w:val="32"/>
          <w:szCs w:val="32"/>
          <w:highlight w:val="none"/>
          <w:lang w:val="en-US" w:eastAsia="zh-CN"/>
        </w:rPr>
        <w:t>河北省国富农业投资集团有限公司</w:t>
      </w:r>
      <w:r>
        <w:rPr>
          <w:rFonts w:hint="default" w:ascii="Times New Roman" w:hAnsi="Times New Roman" w:eastAsia="仿宋_GB2312" w:cs="Times New Roman"/>
          <w:color w:val="auto"/>
          <w:sz w:val="32"/>
          <w:szCs w:val="32"/>
          <w:highlight w:val="none"/>
        </w:rPr>
        <w:t>”为主体，覆盖了</w:t>
      </w:r>
      <w:r>
        <w:rPr>
          <w:rFonts w:hint="default" w:ascii="Times New Roman" w:hAnsi="Times New Roman" w:eastAsia="仿宋_GB2312" w:cs="Times New Roman"/>
          <w:color w:val="auto"/>
          <w:sz w:val="32"/>
          <w:szCs w:val="32"/>
          <w:highlight w:val="none"/>
          <w:lang w:val="en-US" w:eastAsia="zh-CN"/>
        </w:rPr>
        <w:t>河北省国富农业投资集团</w:t>
      </w:r>
      <w:r>
        <w:rPr>
          <w:rFonts w:hint="default" w:ascii="Times New Roman" w:hAnsi="Times New Roman" w:eastAsia="仿宋_GB2312" w:cs="Times New Roman"/>
          <w:color w:val="auto"/>
          <w:sz w:val="32"/>
          <w:szCs w:val="32"/>
          <w:highlight w:val="none"/>
        </w:rPr>
        <w:t>有限公司及所属</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rPr>
        <w:t>。</w:t>
      </w:r>
    </w:p>
    <w:p>
      <w:pPr>
        <w:adjustRightInd w:val="0"/>
        <w:snapToGrid w:val="0"/>
        <w:spacing w:line="560" w:lineRule="exact"/>
        <w:rPr>
          <w:rFonts w:hint="default" w:ascii="Times New Roman" w:hAnsi="Times New Roman" w:cs="Times New Roman"/>
          <w:color w:val="auto"/>
          <w:highlight w:val="none"/>
        </w:rPr>
      </w:pPr>
    </w:p>
    <w:p>
      <w:pPr>
        <w:adjustRightInd w:val="0"/>
        <w:snapToGrid w:val="0"/>
        <w:spacing w:line="560" w:lineRule="exac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报告称谓说明</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为了便于表达和阅读，在报告的表述中分别使用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河北省国富农业投资集团有限公司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“国富投资集团”“集团公司”“集团”“我们”等称谓。</w:t>
      </w:r>
    </w:p>
    <w:p>
      <w:pPr>
        <w:adjustRightInd w:val="0"/>
        <w:snapToGrid w:val="0"/>
        <w:spacing w:line="560" w:lineRule="exact"/>
        <w:rPr>
          <w:rFonts w:hint="default" w:ascii="Times New Roman" w:hAnsi="Times New Roman" w:cs="Times New Roman"/>
          <w:color w:val="auto"/>
          <w:highlight w:val="none"/>
        </w:rPr>
      </w:pPr>
    </w:p>
    <w:p>
      <w:pPr>
        <w:adjustRightInd w:val="0"/>
        <w:snapToGrid w:val="0"/>
        <w:spacing w:line="560" w:lineRule="exac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报告发布周期</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河北省国富农业投资集团有限公司社会责任报告为年度报告。</w:t>
      </w:r>
    </w:p>
    <w:p>
      <w:pPr>
        <w:adjustRightInd w:val="0"/>
        <w:snapToGrid w:val="0"/>
        <w:spacing w:line="560" w:lineRule="exact"/>
        <w:rPr>
          <w:rFonts w:hint="default" w:ascii="Times New Roman" w:hAnsi="Times New Roman" w:cs="Times New Roman"/>
          <w:color w:val="auto"/>
          <w:highlight w:val="none"/>
        </w:rPr>
      </w:pPr>
    </w:p>
    <w:p>
      <w:pPr>
        <w:adjustRightInd w:val="0"/>
        <w:snapToGrid w:val="0"/>
        <w:spacing w:line="560" w:lineRule="exac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报告编写标准</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国务院国有资产监督管理委员会《关于国有企业更好履行社会责任的指导意见》</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中国社会科学院《中国企业社会责任报告指南（CASS-ESG5.0）》</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p>
    <w:p>
      <w:pPr>
        <w:adjustRightInd w:val="0"/>
        <w:snapToGrid w:val="0"/>
        <w:spacing w:line="560" w:lineRule="exact"/>
        <w:rPr>
          <w:rFonts w:hint="default" w:ascii="Times New Roman" w:hAnsi="Times New Roman" w:cs="Times New Roman"/>
          <w:color w:val="auto"/>
          <w:highlight w:val="none"/>
        </w:rPr>
      </w:pPr>
      <w:r>
        <w:rPr>
          <w:rFonts w:hint="default" w:ascii="Times New Roman" w:hAnsi="Times New Roman" w:eastAsia="楷体_GB2312" w:cs="Times New Roman"/>
          <w:b/>
          <w:bCs/>
          <w:color w:val="auto"/>
          <w:sz w:val="32"/>
          <w:szCs w:val="32"/>
          <w:highlight w:val="none"/>
          <w:lang w:val="en-US" w:eastAsia="zh-CN"/>
        </w:rPr>
        <w:t>信息说明</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本报告中的数据、案例来自集团及子公司实际运行的原始记录或财务报告。报告中的财务数据以人民币为单位，特别说明除外。</w:t>
      </w:r>
    </w:p>
    <w:p>
      <w:pPr>
        <w:adjustRightInd w:val="0"/>
        <w:snapToGrid w:val="0"/>
        <w:spacing w:line="560" w:lineRule="exact"/>
        <w:rPr>
          <w:rFonts w:hint="default" w:ascii="Times New Roman" w:hAnsi="Times New Roman" w:cs="Times New Roman"/>
          <w:color w:val="auto"/>
          <w:highlight w:val="none"/>
          <w:lang w:val="en-US" w:eastAsia="zh-CN"/>
        </w:rPr>
      </w:pPr>
    </w:p>
    <w:p>
      <w:pPr>
        <w:adjustRightInd w:val="0"/>
        <w:snapToGrid w:val="0"/>
        <w:spacing w:line="560" w:lineRule="exact"/>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报告获取方式</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您</w:t>
      </w:r>
      <w:r>
        <w:rPr>
          <w:rFonts w:hint="default" w:ascii="Times New Roman" w:hAnsi="Times New Roman" w:eastAsia="仿宋_GB2312" w:cs="Times New Roman"/>
          <w:color w:val="auto"/>
          <w:sz w:val="32"/>
          <w:szCs w:val="32"/>
          <w:highlight w:val="none"/>
          <w:lang w:val="en-US" w:eastAsia="zh-CN"/>
        </w:rPr>
        <w:t>可以通过以下方式获取国富投资集团社会责任信息或下载本报告的电子文本。</w:t>
      </w:r>
    </w:p>
    <w:p>
      <w:pPr>
        <w:adjustRightInd w:val="0"/>
        <w:snapToGrid w:val="0"/>
        <w:spacing w:line="560"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网站：</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"http://www.guofu.com/" </w:instrText>
      </w:r>
      <w:r>
        <w:rPr>
          <w:rFonts w:hint="default" w:ascii="Times New Roman" w:hAnsi="Times New Roman" w:eastAsia="仿宋_GB2312" w:cs="Times New Roman"/>
          <w:color w:val="auto"/>
          <w:sz w:val="32"/>
          <w:szCs w:val="32"/>
          <w:highlight w:val="none"/>
          <w:lang w:val="en-US" w:eastAsia="zh-CN"/>
        </w:rPr>
        <w:fldChar w:fldCharType="separate"/>
      </w:r>
      <w:r>
        <w:rPr>
          <w:rStyle w:val="13"/>
          <w:rFonts w:hint="default" w:ascii="Times New Roman" w:hAnsi="Times New Roman" w:eastAsia="仿宋_GB2312" w:cs="Times New Roman"/>
          <w:color w:val="auto"/>
          <w:sz w:val="32"/>
          <w:szCs w:val="32"/>
          <w:highlight w:val="none"/>
          <w:u w:val="none"/>
          <w:lang w:val="en-US" w:eastAsia="zh-CN"/>
        </w:rPr>
        <w:t>http://www.guofu.com/</w:t>
      </w:r>
      <w:r>
        <w:rPr>
          <w:rFonts w:hint="default" w:ascii="Times New Roman" w:hAnsi="Times New Roman" w:eastAsia="仿宋_GB2312" w:cs="Times New Roman"/>
          <w:color w:val="auto"/>
          <w:sz w:val="32"/>
          <w:szCs w:val="32"/>
          <w:highlight w:val="none"/>
          <w:lang w:val="en-US" w:eastAsia="zh-CN"/>
        </w:rPr>
        <w:fldChar w:fldCharType="end"/>
      </w: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rPr>
          <w:rFonts w:hint="default" w:ascii="Times New Roman" w:hAnsi="Times New Roman" w:eastAsia="仿宋_GB2312" w:cs="Times New Roman"/>
          <w:color w:val="auto"/>
          <w:sz w:val="32"/>
          <w:szCs w:val="32"/>
          <w:highlight w:val="none"/>
          <w:lang w:val="en-US" w:eastAsia="zh-CN"/>
        </w:rPr>
      </w:pPr>
    </w:p>
    <w:p>
      <w:pPr>
        <w:jc w:val="center"/>
        <w:rPr>
          <w:rFonts w:hint="default" w:ascii="Times New Roman" w:hAnsi="Times New Roman" w:eastAsia="黑体" w:cs="Times New Roman"/>
          <w:color w:val="auto"/>
          <w:sz w:val="32"/>
          <w:szCs w:val="32"/>
          <w:highlight w:val="none"/>
          <w:lang w:val="en-US" w:eastAsia="zh-CN"/>
        </w:rPr>
      </w:pPr>
    </w:p>
    <w:p>
      <w:pPr>
        <w:jc w:val="cente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目   录</w:t>
      </w:r>
    </w:p>
    <w:p>
      <w:pPr>
        <w:snapToGrid w:val="0"/>
        <w:spacing w:line="560" w:lineRule="exact"/>
        <w:rPr>
          <w:rFonts w:hint="default" w:ascii="Times New Roman" w:hAnsi="Times New Roman" w:eastAsia="黑体" w:cs="Times New Roman"/>
          <w:color w:val="auto"/>
          <w:sz w:val="32"/>
          <w:szCs w:val="32"/>
          <w:highlight w:val="none"/>
          <w:lang w:val="en-US" w:eastAsia="zh-CN"/>
        </w:rPr>
      </w:pP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领导致辞</w:t>
      </w:r>
      <w:r>
        <w:rPr>
          <w:rFonts w:hint="eastAsia" w:ascii="Times New Roman" w:hAnsi="Times New Roman" w:eastAsia="黑体" w:cs="Times New Roman"/>
          <w:color w:val="auto"/>
          <w:sz w:val="32"/>
          <w:szCs w:val="32"/>
          <w:highlight w:val="none"/>
          <w:lang w:val="en-US" w:eastAsia="zh-CN"/>
        </w:rPr>
        <w:t>..........................................................................................1</w:t>
      </w: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关于我们</w:t>
      </w:r>
      <w:r>
        <w:rPr>
          <w:rFonts w:hint="eastAsia" w:ascii="Times New Roman" w:hAnsi="Times New Roman" w:eastAsia="黑体" w:cs="Times New Roman"/>
          <w:color w:val="auto"/>
          <w:sz w:val="32"/>
          <w:szCs w:val="32"/>
          <w:highlight w:val="none"/>
          <w:lang w:val="en-US" w:eastAsia="zh-CN"/>
        </w:rPr>
        <w:t>..........................................................................................3</w:t>
      </w: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治理主题----求真务实 赋能高质量发展</w:t>
      </w:r>
      <w:r>
        <w:rPr>
          <w:rFonts w:hint="eastAsia" w:ascii="Times New Roman" w:hAnsi="Times New Roman" w:eastAsia="黑体" w:cs="Times New Roman"/>
          <w:color w:val="auto"/>
          <w:sz w:val="32"/>
          <w:szCs w:val="32"/>
          <w:highlight w:val="none"/>
          <w:lang w:val="en-US" w:eastAsia="zh-CN"/>
        </w:rPr>
        <w:t>.......................................5</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党建引领  坚持政治导向</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 xml:space="preserve">筑强根基  </w:t>
      </w:r>
      <w:r>
        <w:rPr>
          <w:rFonts w:hint="default" w:ascii="Times New Roman" w:hAnsi="Times New Roman" w:eastAsia="楷体_GB2312" w:cs="Times New Roman"/>
          <w:color w:val="auto"/>
          <w:sz w:val="32"/>
          <w:szCs w:val="32"/>
          <w:highlight w:val="none"/>
          <w:lang w:val="en-US" w:eastAsia="zh-Hans"/>
        </w:rPr>
        <w:t>完善法人治理</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依法治企  优化合规管理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风险防控  健全内控机制</w:t>
      </w: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责任主题----价值创造 服务国家战略</w:t>
      </w:r>
      <w:r>
        <w:rPr>
          <w:rFonts w:hint="eastAsia" w:ascii="Times New Roman" w:hAnsi="Times New Roman" w:eastAsia="黑体" w:cs="Times New Roman"/>
          <w:color w:val="auto"/>
          <w:sz w:val="32"/>
          <w:szCs w:val="32"/>
          <w:highlight w:val="none"/>
          <w:lang w:val="en-US" w:eastAsia="zh-CN"/>
        </w:rPr>
        <w:t>.........................................11</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做优主业  凸显高质量发展</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服务实体  用心浇灌企业</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科技创新  布局新赛道新领域</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践行责任  助力乡村振兴</w:t>
      </w: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环境主题----节能降碳 绿色化生产生活</w:t>
      </w:r>
      <w:r>
        <w:rPr>
          <w:rFonts w:hint="eastAsia" w:ascii="Times New Roman" w:hAnsi="Times New Roman" w:eastAsia="黑体" w:cs="Times New Roman"/>
          <w:color w:val="auto"/>
          <w:sz w:val="32"/>
          <w:szCs w:val="32"/>
          <w:highlight w:val="none"/>
          <w:lang w:val="en-US" w:eastAsia="zh-CN"/>
        </w:rPr>
        <w:t>.....................................21</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宣传教育  推广绿色低碳</w:t>
      </w: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社会主题----携手前行 共创美好生活</w:t>
      </w:r>
      <w:r>
        <w:rPr>
          <w:rFonts w:hint="eastAsia" w:ascii="Times New Roman" w:hAnsi="Times New Roman" w:eastAsia="黑体" w:cs="Times New Roman"/>
          <w:color w:val="auto"/>
          <w:sz w:val="32"/>
          <w:szCs w:val="32"/>
          <w:highlight w:val="none"/>
          <w:lang w:val="en-US" w:eastAsia="zh-CN"/>
        </w:rPr>
        <w:t>.........................................22</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科学规划  助力人才发展</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暖心关怀  增进员工幸福</w:t>
      </w:r>
    </w:p>
    <w:p>
      <w:pPr>
        <w:snapToGrid w:val="0"/>
        <w:spacing w:line="560" w:lineRule="exact"/>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热心公益  真情服务社会</w:t>
      </w:r>
    </w:p>
    <w:p>
      <w:pPr>
        <w:snapToGrid w:val="0"/>
        <w:spacing w:line="560" w:lineRule="exact"/>
        <w:ind w:firstLine="0" w:firstLineChars="0"/>
        <w:rPr>
          <w:rFonts w:hint="default" w:ascii="Times New Roman" w:hAnsi="Times New Roman" w:cs="Times New Roman"/>
          <w:color w:val="auto"/>
          <w:highlight w:val="none"/>
          <w:lang w:val="en-US" w:eastAsia="zh-CN"/>
        </w:rPr>
      </w:pPr>
      <w:r>
        <w:rPr>
          <w:rFonts w:hint="default" w:ascii="Times New Roman" w:hAnsi="Times New Roman" w:eastAsia="楷体_GB2312" w:cs="Times New Roman"/>
          <w:color w:val="auto"/>
          <w:sz w:val="32"/>
          <w:szCs w:val="32"/>
          <w:highlight w:val="none"/>
          <w:lang w:val="en-US" w:eastAsia="zh-CN"/>
        </w:rPr>
        <w:t>海外履责  展现企业风采</w:t>
      </w:r>
    </w:p>
    <w:p>
      <w:pPr>
        <w:snapToGrid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未来展望</w:t>
      </w:r>
      <w:r>
        <w:rPr>
          <w:rFonts w:hint="eastAsia" w:ascii="Times New Roman" w:hAnsi="Times New Roman" w:eastAsia="黑体" w:cs="Times New Roman"/>
          <w:color w:val="auto"/>
          <w:sz w:val="32"/>
          <w:szCs w:val="32"/>
          <w:highlight w:val="none"/>
          <w:lang w:val="en-US" w:eastAsia="zh-CN"/>
        </w:rPr>
        <w:t>........................................................................................27</w:t>
      </w:r>
    </w:p>
    <w:p>
      <w:pPr>
        <w:rPr>
          <w:rFonts w:hint="default" w:ascii="Times New Roman" w:hAnsi="Times New Roman" w:eastAsia="方正小标宋简体" w:cs="Times New Roman"/>
          <w:color w:val="auto"/>
          <w:sz w:val="44"/>
          <w:szCs w:val="44"/>
          <w:highlight w:val="none"/>
          <w:lang w:val="en-US" w:eastAsia="zh-CN"/>
        </w:rPr>
        <w:sectPr>
          <w:pgSz w:w="11906" w:h="16838"/>
          <w:pgMar w:top="2098" w:right="1474" w:bottom="1984" w:left="1587" w:header="851" w:footer="992" w:gutter="0"/>
          <w:pgNumType w:fmt="numberInDash"/>
          <w:cols w:space="425" w:num="1"/>
          <w:docGrid w:type="lines" w:linePitch="312" w:charSpace="0"/>
        </w:sectPr>
      </w:pPr>
    </w:p>
    <w:p>
      <w:pP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领导致辞</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 xml:space="preserve"> 2023年，国富投资集团全面贯彻党的二十大和中央经济工作会议精神，认真落实省委十届历次全会、省委经济工作会议和全省国资国企工作会议精神，紧紧围绕“1126”工作安排，</w:t>
      </w:r>
      <w:r>
        <w:rPr>
          <w:rFonts w:hint="default" w:ascii="Times New Roman" w:hAnsi="Times New Roman" w:eastAsia="仿宋_GB2312" w:cs="Times New Roman"/>
          <w:color w:val="auto"/>
          <w:sz w:val="32"/>
          <w:szCs w:val="32"/>
          <w:highlight w:val="none"/>
          <w:shd w:val="clear" w:color="auto" w:fill="FFFFFF"/>
        </w:rPr>
        <w:t>坚持</w:t>
      </w:r>
      <w:r>
        <w:rPr>
          <w:rFonts w:ascii="Times New Roman" w:hAnsi="Times New Roman" w:eastAsia="仿宋_GB2312" w:cs="Times New Roman"/>
          <w:color w:val="auto"/>
          <w:sz w:val="32"/>
          <w:szCs w:val="32"/>
          <w:highlight w:val="none"/>
          <w:shd w:val="clear" w:color="auto" w:fill="FFFFFF"/>
        </w:rPr>
        <w:t>以党建为</w:t>
      </w:r>
      <w:r>
        <w:rPr>
          <w:rFonts w:hint="default" w:ascii="Times New Roman" w:hAnsi="Times New Roman" w:eastAsia="仿宋_GB2312" w:cs="Times New Roman"/>
          <w:color w:val="auto"/>
          <w:sz w:val="32"/>
          <w:szCs w:val="32"/>
          <w:highlight w:val="none"/>
          <w:shd w:val="clear" w:color="auto" w:fill="FFFFFF"/>
          <w:lang w:val="en-US" w:eastAsia="zh-CN"/>
        </w:rPr>
        <w:t>引领</w:t>
      </w:r>
      <w:r>
        <w:rPr>
          <w:rFonts w:ascii="Times New Roman" w:hAnsi="Times New Roman" w:eastAsia="仿宋_GB2312" w:cs="Times New Roman"/>
          <w:color w:val="auto"/>
          <w:sz w:val="32"/>
          <w:szCs w:val="32"/>
          <w:highlight w:val="none"/>
          <w:shd w:val="clear" w:color="auto" w:fill="FFFFFF"/>
        </w:rPr>
        <w:t>、以改革求突破、以创新促转型，</w:t>
      </w:r>
      <w:r>
        <w:rPr>
          <w:rFonts w:hint="default" w:ascii="Times New Roman" w:hAnsi="Times New Roman" w:eastAsia="仿宋_GB2312" w:cs="Times New Roman"/>
          <w:color w:val="auto"/>
          <w:sz w:val="32"/>
          <w:szCs w:val="32"/>
          <w:highlight w:val="none"/>
          <w:shd w:val="clear" w:color="auto" w:fill="FFFFFF"/>
        </w:rPr>
        <w:t>全面增强市场竞争力</w:t>
      </w:r>
      <w:r>
        <w:rPr>
          <w:rFonts w:hint="default" w:ascii="Times New Roman" w:hAnsi="Times New Roman" w:eastAsia="仿宋_GB2312" w:cs="Times New Roman"/>
          <w:color w:val="auto"/>
          <w:kern w:val="2"/>
          <w:sz w:val="32"/>
          <w:szCs w:val="32"/>
          <w:highlight w:val="none"/>
          <w:lang w:val="en-US" w:eastAsia="zh-CN" w:bidi="ar-SA"/>
        </w:rPr>
        <w:t>，努力建设省内一流的专业化、多元化投融资及乡村振兴服务平台</w:t>
      </w:r>
      <w:r>
        <w:rPr>
          <w:rFonts w:hint="default" w:ascii="Times New Roman" w:hAnsi="Times New Roman" w:eastAsia="仿宋_GB2312"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这一年，我们服务国家战略，充分把握京津冀协同发展重大战略机遇，积极参与设立乡村振兴基金，聚焦农业科技提升对接高校及科研机构，全面发挥集团公司在涉农领域投融资、资本市场服务及产学研深度融合等领域优势，强化协同创新和产业协作，将战略机遇转化为发展动能，国有企业功能得到充分发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这一年，我们聚焦主责主业，持续激发高质量发展动能，主动优化结构调整，境内外“两个市场”上市服务联动布局初步形成，基金管理规模突破41亿元，期货服务实体经济能力不断提升，成功新设融资担保公司，集团公司高质量发展态势凸显。我们推动科技创新，强力推进研发投入“三年上、五年强”专项行动，期货经纪业务模式创新和数字化转型成果逐步显现，财务共享系统不断完善，人才引进力度持续加强，集团公司新赛道、新领域加速布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这一年，我们深化国企改革</w:t>
      </w:r>
      <w:r>
        <w:rPr>
          <w:rFonts w:hint="default" w:ascii="Times New Roman" w:hAnsi="Times New Roman" w:eastAsia="仿宋_GB2312" w:cs="Times New Roman"/>
          <w:color w:val="auto"/>
          <w:sz w:val="32"/>
          <w:szCs w:val="32"/>
          <w:highlight w:val="none"/>
          <w:u w:val="none"/>
          <w:lang w:val="zh-CN" w:eastAsia="zh-CN"/>
        </w:rPr>
        <w:t>，</w:t>
      </w:r>
      <w:r>
        <w:rPr>
          <w:rFonts w:hint="default" w:ascii="Times New Roman" w:hAnsi="Times New Roman" w:eastAsia="仿宋_GB2312" w:cs="Times New Roman"/>
          <w:color w:val="auto"/>
          <w:sz w:val="32"/>
          <w:szCs w:val="32"/>
          <w:highlight w:val="none"/>
          <w:u w:val="none"/>
          <w:lang w:val="en-US" w:eastAsia="zh-CN"/>
        </w:rPr>
        <w:t>进一步理顺现代企业法人治理结构，不断完善市场化经营机制，持续加强内部制度建设，资产结构进一步优化，集团公司改革动能不断集聚。国企改革成果文章《求真务实抓改革 协同共进谋发展 以国企改革三年行动赋能高质量发展》，荣获河北省国有企业改革三年行动优秀成果一等奖。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这一年，我们强化风险防控，</w:t>
      </w:r>
      <w:r>
        <w:rPr>
          <w:rFonts w:hint="default" w:ascii="Times New Roman" w:hAnsi="Times New Roman" w:eastAsia="仿宋_GB2312" w:cs="Times New Roman"/>
          <w:color w:val="auto"/>
          <w:sz w:val="32"/>
          <w:szCs w:val="32"/>
          <w:highlight w:val="none"/>
          <w:u w:val="none"/>
          <w:lang w:val="en-US" w:eastAsia="zh-Hans"/>
        </w:rPr>
        <w:t>始终坚持“稳字当头”总基调，</w:t>
      </w:r>
      <w:r>
        <w:rPr>
          <w:rFonts w:hint="default" w:ascii="Times New Roman" w:hAnsi="Times New Roman" w:eastAsia="仿宋_GB2312" w:cs="Times New Roman"/>
          <w:color w:val="auto"/>
          <w:sz w:val="32"/>
          <w:szCs w:val="32"/>
          <w:highlight w:val="none"/>
          <w:u w:val="none"/>
          <w:lang w:val="en-US" w:eastAsia="zh-CN"/>
        </w:rPr>
        <w:t>制定“合规管理+合同管理+招标管理”一体化法律监督和合规管理制度，综合运用内部审计、内控监督评价、重大项目风险评估等多种举措持续提升风险防控能力，强化安全生产工作，</w:t>
      </w:r>
      <w:r>
        <w:rPr>
          <w:rFonts w:hint="default" w:ascii="Times New Roman" w:hAnsi="Times New Roman" w:eastAsia="仿宋_GB2312" w:cs="Times New Roman"/>
          <w:color w:val="auto"/>
          <w:sz w:val="32"/>
          <w:szCs w:val="32"/>
          <w:highlight w:val="none"/>
        </w:rPr>
        <w:t>确保安全生产“零”事故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lang w:val="en-US" w:eastAsia="zh-CN"/>
        </w:rPr>
        <w:t>集团公司发展更加健康平稳。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这一年，我们践行社会责任，以巩固脱贫成果、对接乡村振兴产业为出发点，聚焦产业帮扶推动工作有序开展。健全长效防止返贫和帮扶机制，积极开发多项乡村振兴项目，为村经济发展寻找新的增长点，乡村振兴战略深入推进。集团公司荣获省委组织部2023年度驻村工作“优秀派出单位”荣誉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征程万里风正劲，重任千钧再奋蹄”。2024年是集团公司实现“十四五”规划战略目标的关键一年，也是我们进一步聚焦上市、期货、农业三大板块关键年份。让我们高举习近平新时代中国特色社会主义思想伟大旗帜，以发展新质生产力为指导，以全省国资国企工作会议安排部署为遵循，以“1234”</w:t>
      </w:r>
      <w:r>
        <w:rPr>
          <w:rFonts w:hint="eastAsia" w:ascii="Times New Roman" w:hAnsi="Times New Roman" w:eastAsia="仿宋_GB2312" w:cs="Times New Roman"/>
          <w:color w:val="auto"/>
          <w:sz w:val="32"/>
          <w:szCs w:val="32"/>
          <w:highlight w:val="none"/>
          <w:u w:val="none"/>
          <w:lang w:val="en-US" w:eastAsia="zh-CN"/>
        </w:rPr>
        <w:t>工作思路</w:t>
      </w:r>
      <w:r>
        <w:rPr>
          <w:rFonts w:hint="default" w:ascii="Times New Roman" w:hAnsi="Times New Roman" w:eastAsia="仿宋_GB2312" w:cs="Times New Roman"/>
          <w:color w:val="auto"/>
          <w:sz w:val="32"/>
          <w:szCs w:val="32"/>
          <w:highlight w:val="none"/>
          <w:u w:val="none"/>
          <w:lang w:val="en-US" w:eastAsia="zh-CN"/>
        </w:rPr>
        <w:t>为导向，以“一利稳定增长，五率持续优化”为目标，坚持“稳中求进、以进促稳”，推进“六个国富”建设，为谱写中国式现代化河北场景国富新篇章做出新的更大贡献。</w:t>
      </w:r>
    </w:p>
    <w:p>
      <w:pPr>
        <w:ind w:firstLine="0" w:firstLineChars="0"/>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关于我们</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公司概况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河北省国富农业投资</w:t>
      </w:r>
      <w:r>
        <w:rPr>
          <w:rFonts w:hint="default" w:ascii="Times New Roman" w:hAnsi="Times New Roman" w:eastAsia="仿宋_GB2312" w:cs="Times New Roman"/>
          <w:color w:val="auto"/>
          <w:sz w:val="32"/>
          <w:szCs w:val="32"/>
          <w:highlight w:val="none"/>
        </w:rPr>
        <w:t>集团</w:t>
      </w:r>
      <w:r>
        <w:rPr>
          <w:rFonts w:hint="default" w:ascii="Times New Roman" w:hAnsi="Times New Roman" w:eastAsia="仿宋_GB2312" w:cs="Times New Roman"/>
          <w:color w:val="auto"/>
          <w:sz w:val="32"/>
          <w:szCs w:val="32"/>
          <w:highlight w:val="none"/>
          <w:lang w:val="en-US" w:eastAsia="zh-CN"/>
        </w:rPr>
        <w:t>有限</w:t>
      </w:r>
      <w:r>
        <w:rPr>
          <w:rFonts w:hint="default" w:ascii="Times New Roman" w:hAnsi="Times New Roman" w:eastAsia="仿宋_GB2312" w:cs="Times New Roman"/>
          <w:color w:val="auto"/>
          <w:sz w:val="32"/>
          <w:szCs w:val="32"/>
          <w:highlight w:val="none"/>
        </w:rPr>
        <w:t>公司前身为河北省经济开发投资公司，成立于1992年。2001年11月，经省政府批准，重组设立为河北省国富农业投资集团有限公司，注册资本3.34亿元。2017年3月，按照省政府要求全面划转至省国资委管理。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团公司自成立以来，历经参股农业类企业、围绕上市设立基金、基金投资农业实体三个发展阶段，持续打造三大板块，在服务企业境外上市融资、激发地方基金活力、推动农业产业化发展和期货服务实体经济等方面作出了突出贡献。经过逾30年的市场化、专业化运作，国富</w:t>
      </w:r>
      <w:r>
        <w:rPr>
          <w:rFonts w:hint="default" w:ascii="Times New Roman" w:hAnsi="Times New Roman" w:eastAsia="仿宋_GB2312" w:cs="Times New Roman"/>
          <w:color w:val="auto"/>
          <w:sz w:val="32"/>
          <w:szCs w:val="32"/>
          <w:highlight w:val="none"/>
          <w:lang w:val="en-US" w:eastAsia="zh-CN"/>
        </w:rPr>
        <w:t>投资</w:t>
      </w:r>
      <w:r>
        <w:rPr>
          <w:rFonts w:hint="default" w:ascii="Times New Roman" w:hAnsi="Times New Roman" w:eastAsia="仿宋_GB2312" w:cs="Times New Roman"/>
          <w:color w:val="auto"/>
          <w:sz w:val="32"/>
          <w:szCs w:val="32"/>
          <w:highlight w:val="none"/>
        </w:rPr>
        <w:t>集团</w:t>
      </w:r>
      <w:r>
        <w:rPr>
          <w:rFonts w:hint="eastAsia" w:ascii="Times New Roman" w:hAnsi="Times New Roman" w:eastAsia="仿宋_GB2312" w:cs="Times New Roman"/>
          <w:color w:val="auto"/>
          <w:sz w:val="32"/>
          <w:szCs w:val="32"/>
          <w:highlight w:val="none"/>
          <w:lang w:val="en-US" w:eastAsia="zh-CN"/>
        </w:rPr>
        <w:t>已</w:t>
      </w:r>
      <w:r>
        <w:rPr>
          <w:rFonts w:hint="default" w:ascii="Times New Roman" w:hAnsi="Times New Roman" w:eastAsia="仿宋_GB2312" w:cs="Times New Roman"/>
          <w:color w:val="auto"/>
          <w:sz w:val="32"/>
          <w:szCs w:val="32"/>
          <w:highlight w:val="none"/>
        </w:rPr>
        <w:t>成为一家能够为河北企业提供高端金融服务的立体式、全方位综合性投融资平台。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集团公司</w:t>
      </w:r>
      <w:r>
        <w:rPr>
          <w:rFonts w:hint="default" w:ascii="Times New Roman" w:hAnsi="Times New Roman" w:eastAsia="仿宋_GB2312" w:cs="Times New Roman"/>
          <w:color w:val="auto"/>
          <w:sz w:val="32"/>
          <w:szCs w:val="32"/>
          <w:highlight w:val="none"/>
          <w:lang w:val="en-US" w:eastAsia="zh-CN"/>
        </w:rPr>
        <w:t>主业</w:t>
      </w:r>
      <w:r>
        <w:rPr>
          <w:rFonts w:hint="default" w:ascii="Times New Roman" w:hAnsi="Times New Roman" w:eastAsia="仿宋_GB2312" w:cs="Times New Roman"/>
          <w:color w:val="auto"/>
          <w:sz w:val="32"/>
          <w:szCs w:val="32"/>
          <w:highlight w:val="none"/>
        </w:rPr>
        <w:t>范围：资本市场服务（企业上市及相关服务，基金管理服务，期货市场服务）；投资与资产管理（农业及相关产业，服务的拟上市企业）；政策性融资担保（三农、小微企业）。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集团公司总部共设10个职能部室，下辖9家二级公司、10家三级公司和18家参股公司。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截至2023年底，</w:t>
      </w:r>
      <w:r>
        <w:rPr>
          <w:rFonts w:hint="default" w:ascii="Times New Roman" w:hAnsi="Times New Roman" w:eastAsia="仿宋_GB2312" w:cs="Times New Roman"/>
          <w:color w:val="auto"/>
          <w:sz w:val="32"/>
          <w:szCs w:val="32"/>
          <w:highlight w:val="none"/>
        </w:rPr>
        <w:t>共有在职人员37</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人，中层副职以上领导人员4</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人，本科学历209人，研究生学历25人，拥有中高级职称人员72人，注册会计师15人。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载誉而行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国富投资集团荣获河北省委组织部“2023年度优秀省直派出单位”称号；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国富投资集团荣获</w:t>
      </w:r>
      <w:r>
        <w:rPr>
          <w:rFonts w:hint="eastAsia" w:ascii="Times New Roman" w:hAnsi="Times New Roman" w:eastAsia="仿宋_GB2312" w:cs="Times New Roman"/>
          <w:color w:val="auto"/>
          <w:sz w:val="32"/>
          <w:szCs w:val="32"/>
          <w:highlight w:val="none"/>
          <w:lang w:val="en-US" w:eastAsia="zh-CN"/>
        </w:rPr>
        <w:t>河北</w:t>
      </w:r>
      <w:r>
        <w:rPr>
          <w:rFonts w:hint="default" w:ascii="Times New Roman" w:hAnsi="Times New Roman" w:eastAsia="仿宋_GB2312" w:cs="Times New Roman"/>
          <w:color w:val="auto"/>
          <w:sz w:val="32"/>
          <w:szCs w:val="32"/>
          <w:highlight w:val="none"/>
          <w:lang w:val="en-US" w:eastAsia="zh-CN"/>
        </w:rPr>
        <w:t>省委组织部2022、2023年度驻村工作“优秀派出单位”荣誉称号；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国富投资集团荣获河北省国资委“2022年度国有资产统计工作成绩突出单位”称号；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u w:val="none"/>
          <w:lang w:val="en-US" w:eastAsia="zh-CN"/>
        </w:rPr>
        <w:t>国富投资集团</w:t>
      </w:r>
      <w:r>
        <w:rPr>
          <w:rFonts w:hint="default" w:ascii="Times New Roman" w:hAnsi="Times New Roman" w:eastAsia="仿宋_GB2312" w:cs="Times New Roman"/>
          <w:color w:val="auto"/>
          <w:sz w:val="32"/>
          <w:szCs w:val="32"/>
          <w:highlight w:val="none"/>
          <w:u w:val="none"/>
          <w:lang w:val="en-US" w:eastAsia="zh-CN"/>
        </w:rPr>
        <w:t>国企改革成果《求真务实抓改革 协同共进谋发展 以国企改革三年行动赋能高质量发展》，荣获河北省国有企业改革三年行动优秀成果一等奖</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中共河北省国富农业投资集团有限公司第一支部委员会荣获河北省国资委“先进基层党组织”称号；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国富投资集团所属恒银期货有限公司荣获河北省国资委“党建工作与生产经营深度融合先进单位”称号；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国富投资集团所属恒银期货有限公司荣获河北省国资委“2022年度国有资产统计工作成绩突出单位”称号。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治理主题</w:t>
      </w:r>
      <w:r>
        <w:rPr>
          <w:rFonts w:hint="default" w:ascii="Times New Roman" w:hAnsi="Times New Roman" w:eastAsia="黑体" w:cs="Times New Roman"/>
          <w:color w:val="auto"/>
          <w:sz w:val="32"/>
          <w:szCs w:val="32"/>
          <w:highlight w:val="none"/>
          <w:lang w:val="en-US" w:eastAsia="zh-CN"/>
        </w:rPr>
        <w:t>----求真务实 赋能高质量发展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2023年，国富投资集团在省委、省国资委的正确领导下，纵深推进党的各项建设，</w:t>
      </w:r>
      <w:r>
        <w:rPr>
          <w:rFonts w:hint="default" w:ascii="Times New Roman" w:hAnsi="Times New Roman" w:eastAsia="仿宋_GB2312" w:cs="Times New Roman"/>
          <w:color w:val="auto"/>
          <w:sz w:val="32"/>
          <w:szCs w:val="32"/>
          <w:highlight w:val="none"/>
          <w:lang w:val="en-US" w:eastAsia="zh-Hans"/>
        </w:rPr>
        <w:t>完善现代企业法人治理结构，</w:t>
      </w:r>
      <w:r>
        <w:rPr>
          <w:rFonts w:hint="default" w:ascii="Times New Roman" w:hAnsi="Times New Roman" w:eastAsia="仿宋_GB2312" w:cs="Times New Roman"/>
          <w:color w:val="auto"/>
          <w:sz w:val="32"/>
          <w:szCs w:val="32"/>
          <w:highlight w:val="none"/>
          <w:lang w:val="en-US" w:eastAsia="zh-CN"/>
        </w:rPr>
        <w:t xml:space="preserve">持续深入推进法治国企建设工作，全面落实防风险主体责任，完善内控体系建设，赋能集团公司高质量发展。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党建引领  坚持政治导向</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2023年，集团党委按照新时代党的建设总要求，坚持以学习贯彻习近平新时代中国特色社会主义思想和党的二十大精神为指导，</w:t>
      </w:r>
      <w:r>
        <w:rPr>
          <w:rFonts w:hint="default" w:ascii="Times New Roman" w:hAnsi="Times New Roman" w:eastAsia="仿宋_GB2312" w:cs="Times New Roman"/>
          <w:color w:val="auto"/>
          <w:sz w:val="32"/>
          <w:szCs w:val="32"/>
          <w:highlight w:val="none"/>
        </w:rPr>
        <w:t>充分发挥集团党委领导作用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基层党支部战斗堡垒作用</w:t>
      </w:r>
      <w:r>
        <w:rPr>
          <w:rFonts w:hint="default" w:ascii="Times New Roman" w:hAnsi="Times New Roman" w:eastAsia="仿宋_GB2312" w:cs="Times New Roman"/>
          <w:color w:val="auto"/>
          <w:sz w:val="32"/>
          <w:szCs w:val="32"/>
          <w:highlight w:val="none"/>
          <w:lang w:val="en-US" w:eastAsia="zh-CN"/>
        </w:rPr>
        <w:t>和共产党员先锋模范作用，坚决拥护“两个确立”、做到“两个维护”，</w:t>
      </w:r>
      <w:r>
        <w:rPr>
          <w:rFonts w:hint="default" w:ascii="Times New Roman" w:hAnsi="Times New Roman" w:eastAsia="仿宋_GB2312" w:cs="Times New Roman"/>
          <w:color w:val="auto"/>
          <w:sz w:val="32"/>
          <w:szCs w:val="32"/>
          <w:highlight w:val="none"/>
        </w:rPr>
        <w:t>为完成各项目标任务提供了有力的政治保证和组织保证。</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集团党委</w:t>
      </w:r>
      <w:r>
        <w:rPr>
          <w:rFonts w:hint="default" w:ascii="Times New Roman" w:hAnsi="Times New Roman" w:eastAsia="仿宋_GB2312" w:cs="Times New Roman"/>
          <w:i w:val="0"/>
          <w:iCs w:val="0"/>
          <w:caps w:val="0"/>
          <w:color w:val="auto"/>
          <w:spacing w:val="0"/>
          <w:sz w:val="32"/>
          <w:szCs w:val="32"/>
          <w:highlight w:val="none"/>
          <w:shd w:val="clear" w:color="auto" w:fill="FFFFFF"/>
        </w:rPr>
        <w:t>严格执行重大事项向上级党组织请示报告制度</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及</w:t>
      </w:r>
      <w:r>
        <w:rPr>
          <w:rFonts w:hint="default" w:ascii="Times New Roman" w:hAnsi="Times New Roman" w:eastAsia="仿宋_GB2312" w:cs="Times New Roman"/>
          <w:i w:val="0"/>
          <w:iCs w:val="0"/>
          <w:caps w:val="0"/>
          <w:color w:val="auto"/>
          <w:spacing w:val="0"/>
          <w:sz w:val="32"/>
          <w:szCs w:val="32"/>
          <w:highlight w:val="none"/>
          <w:shd w:val="clear" w:color="auto" w:fill="FFFFFF"/>
        </w:rPr>
        <w:t>新</w:t>
      </w:r>
      <w:r>
        <w:rPr>
          <w:rFonts w:hint="default" w:ascii="Times New Roman" w:hAnsi="Times New Roman" w:eastAsia="仿宋_GB2312" w:cs="Times New Roman"/>
          <w:color w:val="auto"/>
          <w:kern w:val="2"/>
          <w:sz w:val="32"/>
          <w:szCs w:val="32"/>
          <w:highlight w:val="none"/>
          <w:lang w:val="en-US" w:eastAsia="zh-CN" w:bidi="ar-SA"/>
        </w:rPr>
        <w:t>形势下党内政治生活若干准则，严格按照两个“一以贯之”要求，把加强党的领导和完善公司治理统一起来，推进党的领导融入公司治理各环节，推行“双向进入、交叉任职”。研究制定了集团2023年党员教育培训计划，推动党员干部政治“三力”不断提高</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集团党委领导班子带头落实第一议题制度、开展理论学习中心组学习，带头讲好专题党课，把党的创新理论武装作为铸魂之本，持续推进理念创新、手段创新和工作创新，引导全体干部员工切实在学懂弄通做实上下功夫，不断提升理论武装针对性和时效性。2023年共开展理论中心组学习讨论12次，第一议题学习9次，全体党员专题学习超32学时。</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集团党委扎实开展主题教育系列活动，通过组织主题教育“读书班”、基层党务人员培训班和专题民主生活会，努力营造“党委引领、班子带头、党员紧跟”的浓厚学习氛围。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集团党委积极响应党中央在全党大兴调查研究之风的号召</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2023年全年，由集团公司领导班子成员带队，深入合作企业或项目一线调研43人次，沟通确定</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5个方面</w:t>
      </w:r>
      <w:r>
        <w:rPr>
          <w:rFonts w:hint="default" w:ascii="Times New Roman" w:hAnsi="Times New Roman" w:eastAsia="仿宋_GB2312" w:cs="Times New Roman"/>
          <w:color w:val="auto"/>
          <w:sz w:val="32"/>
          <w:szCs w:val="32"/>
          <w:highlight w:val="none"/>
        </w:rPr>
        <w:t>共计</w:t>
      </w:r>
      <w:r>
        <w:rPr>
          <w:rFonts w:ascii="Times New Roman" w:hAnsi="Times New Roman" w:eastAsia="仿宋_GB2312" w:cs="Times New Roman"/>
          <w:color w:val="auto"/>
          <w:sz w:val="32"/>
          <w:szCs w:val="32"/>
          <w:highlight w:val="none"/>
        </w:rPr>
        <w:t>26项调研</w:t>
      </w:r>
      <w:r>
        <w:rPr>
          <w:rFonts w:hint="default" w:ascii="Times New Roman" w:hAnsi="Times New Roman" w:eastAsia="仿宋_GB2312" w:cs="Times New Roman"/>
          <w:color w:val="auto"/>
          <w:sz w:val="32"/>
          <w:szCs w:val="32"/>
          <w:highlight w:val="none"/>
          <w:lang w:val="en-US" w:eastAsia="zh-CN"/>
        </w:rPr>
        <w:t>课题，形成专项调研报告8篇，开展反面案例专项调研，形成调研报告1篇。</w:t>
      </w:r>
    </w:p>
    <w:p>
      <w:pPr>
        <w:pStyle w:val="15"/>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集团党委锲而不舍落实中央八项规定及其实施细则精神，不断健全制度体系建设，完善权力监督机制，</w:t>
      </w:r>
      <w:r>
        <w:rPr>
          <w:rFonts w:hint="default" w:ascii="Times New Roman" w:hAnsi="Times New Roman" w:eastAsia="仿宋_GB2312" w:cs="Times New Roman"/>
          <w:color w:val="auto"/>
          <w:kern w:val="2"/>
          <w:sz w:val="32"/>
          <w:szCs w:val="32"/>
          <w:highlight w:val="none"/>
          <w:lang w:val="en-US" w:eastAsia="zh-CN" w:bidi="ar-SA"/>
        </w:rPr>
        <w:t>起草完成集团公司《落实全面从严治党主体责任承诺书》，制定了《国富投资集团持续深化纠正“四风”和作风纪律整治推进方案》，</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编制了《廉洁风险防控手册》</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40" w:firstLineChars="200"/>
        <w:jc w:val="left"/>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集团党委</w:t>
      </w:r>
      <w:r>
        <w:rPr>
          <w:rFonts w:hint="default" w:ascii="Times New Roman" w:hAnsi="Times New Roman" w:eastAsia="仿宋_GB2312" w:cs="Times New Roman"/>
          <w:color w:val="auto"/>
          <w:sz w:val="32"/>
          <w:szCs w:val="32"/>
          <w:highlight w:val="none"/>
        </w:rPr>
        <w:t>坚持把做好巡察整改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专项整治工作</w:t>
      </w:r>
      <w:r>
        <w:rPr>
          <w:rFonts w:hint="default" w:ascii="Times New Roman" w:hAnsi="Times New Roman" w:eastAsia="仿宋_GB2312" w:cs="Times New Roman"/>
          <w:color w:val="auto"/>
          <w:sz w:val="32"/>
          <w:szCs w:val="32"/>
          <w:highlight w:val="none"/>
        </w:rPr>
        <w:t>，作为改进工作作风、提升工作能力、解决突出问题的重大契机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以问题为导向,以目标为牵引，以落实为抓手，将巡察整改、专项整治工作与促进集团公司各项工作发展结合起来，</w:t>
      </w:r>
      <w:r>
        <w:rPr>
          <w:rFonts w:hint="default" w:ascii="Times New Roman" w:hAnsi="Times New Roman" w:eastAsia="仿宋_GB2312" w:cs="Times New Roman"/>
          <w:b w:val="0"/>
          <w:bCs/>
          <w:color w:val="auto"/>
          <w:sz w:val="32"/>
          <w:szCs w:val="32"/>
          <w:highlight w:val="none"/>
        </w:rPr>
        <w:t>以落实巡察整改</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val="en-US" w:eastAsia="zh-CN"/>
        </w:rPr>
        <w:t>专项整治</w:t>
      </w:r>
      <w:r>
        <w:rPr>
          <w:rFonts w:hint="default" w:ascii="Times New Roman" w:hAnsi="Times New Roman" w:eastAsia="仿宋_GB2312" w:cs="Times New Roman"/>
          <w:b w:val="0"/>
          <w:bCs/>
          <w:color w:val="auto"/>
          <w:sz w:val="32"/>
          <w:szCs w:val="32"/>
          <w:highlight w:val="none"/>
        </w:rPr>
        <w:t>工作推动各类问题整改到位，实现</w:t>
      </w:r>
      <w:r>
        <w:rPr>
          <w:rFonts w:hint="default" w:ascii="Times New Roman" w:hAnsi="Times New Roman" w:eastAsia="仿宋_GB2312" w:cs="Times New Roman"/>
          <w:b w:val="0"/>
          <w:bCs/>
          <w:color w:val="auto"/>
          <w:sz w:val="32"/>
          <w:szCs w:val="32"/>
          <w:highlight w:val="none"/>
          <w:lang w:val="en-US" w:eastAsia="zh-CN"/>
        </w:rPr>
        <w:t>集团公司</w:t>
      </w:r>
      <w:r>
        <w:rPr>
          <w:rFonts w:hint="default" w:ascii="Times New Roman" w:hAnsi="Times New Roman" w:eastAsia="仿宋_GB2312" w:cs="Times New Roman"/>
          <w:b w:val="0"/>
          <w:bCs/>
          <w:color w:val="auto"/>
          <w:sz w:val="32"/>
          <w:szCs w:val="32"/>
          <w:highlight w:val="none"/>
        </w:rPr>
        <w:t>质量和效益双提升。</w:t>
      </w: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筑强根基 </w:t>
      </w:r>
      <w:r>
        <w:rPr>
          <w:rFonts w:hint="default" w:ascii="Times New Roman" w:hAnsi="Times New Roman" w:eastAsia="黑体" w:cs="Times New Roman"/>
          <w:color w:val="auto"/>
          <w:sz w:val="32"/>
          <w:szCs w:val="32"/>
          <w:highlight w:val="none"/>
          <w:lang w:val="en-US" w:eastAsia="zh-Hans"/>
        </w:rPr>
        <w:t>完善</w:t>
      </w:r>
      <w:r>
        <w:rPr>
          <w:rFonts w:hint="default" w:ascii="Times New Roman" w:hAnsi="Times New Roman" w:eastAsia="黑体" w:cs="Times New Roman"/>
          <w:color w:val="auto"/>
          <w:sz w:val="32"/>
          <w:szCs w:val="32"/>
          <w:highlight w:val="none"/>
          <w:lang w:val="en-US" w:eastAsia="zh-CN"/>
        </w:rPr>
        <w:t>法人</w:t>
      </w:r>
      <w:r>
        <w:rPr>
          <w:rFonts w:hint="default" w:ascii="Times New Roman" w:hAnsi="Times New Roman" w:eastAsia="黑体" w:cs="Times New Roman"/>
          <w:color w:val="auto"/>
          <w:sz w:val="32"/>
          <w:szCs w:val="32"/>
          <w:highlight w:val="none"/>
          <w:lang w:val="en-US" w:eastAsia="zh-Hans"/>
        </w:rPr>
        <w:t>治理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rPr>
        <w:t>国富</w:t>
      </w:r>
      <w:r>
        <w:rPr>
          <w:rFonts w:hint="default" w:ascii="Times New Roman" w:hAnsi="Times New Roman" w:eastAsia="仿宋_GB2312" w:cs="Times New Roman"/>
          <w:color w:val="auto"/>
          <w:sz w:val="32"/>
          <w:szCs w:val="32"/>
          <w:highlight w:val="none"/>
          <w:lang w:eastAsia="zh-CN"/>
        </w:rPr>
        <w:t>投资集团</w:t>
      </w:r>
      <w:r>
        <w:rPr>
          <w:rFonts w:hint="default" w:ascii="Times New Roman" w:hAnsi="Times New Roman" w:eastAsia="仿宋_GB2312" w:cs="Times New Roman"/>
          <w:color w:val="auto"/>
          <w:sz w:val="32"/>
          <w:szCs w:val="32"/>
          <w:highlight w:val="none"/>
          <w:lang w:val="en-US" w:eastAsia="zh-CN"/>
        </w:rPr>
        <w:t>持续</w:t>
      </w:r>
      <w:r>
        <w:rPr>
          <w:rFonts w:hint="default" w:ascii="Times New Roman" w:hAnsi="Times New Roman" w:eastAsia="仿宋_GB2312" w:cs="Times New Roman"/>
          <w:color w:val="auto"/>
          <w:sz w:val="32"/>
          <w:szCs w:val="32"/>
          <w:highlight w:val="none"/>
        </w:rPr>
        <w:t>坚持权责法定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公正透明</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协调运转</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有效制衡的治理机制，以《公司章程》为抓手，严格执行《董事会工作规则》《“三重一大”决策制度》</w:t>
      </w:r>
      <w:r>
        <w:rPr>
          <w:rFonts w:hint="default" w:ascii="Times New Roman" w:hAnsi="Times New Roman" w:eastAsia="仿宋_GB2312" w:cs="Times New Roman"/>
          <w:color w:val="auto"/>
          <w:sz w:val="32"/>
          <w:szCs w:val="32"/>
          <w:highlight w:val="none"/>
          <w:lang w:val="en-US" w:eastAsia="zh-CN"/>
        </w:rPr>
        <w:t>等制度规定</w:t>
      </w:r>
      <w:r>
        <w:rPr>
          <w:rFonts w:hint="default" w:ascii="Times New Roman" w:hAnsi="Times New Roman" w:eastAsia="仿宋_GB2312" w:cs="Times New Roman"/>
          <w:color w:val="auto"/>
          <w:sz w:val="32"/>
          <w:szCs w:val="32"/>
          <w:highlight w:val="none"/>
        </w:rPr>
        <w:t>，为董事会“定战略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做决策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防风险”的职责定位提供重要制度保障。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集团公司</w:t>
      </w:r>
      <w:r>
        <w:rPr>
          <w:rFonts w:hint="default" w:ascii="Times New Roman" w:hAnsi="Times New Roman" w:eastAsia="仿宋_GB2312" w:cs="Times New Roman"/>
          <w:color w:val="auto"/>
          <w:sz w:val="32"/>
          <w:szCs w:val="32"/>
          <w:highlight w:val="none"/>
        </w:rPr>
        <w:t>董事会由7名董事组成。设董事长1名，副董事长1名，配备1名职工董事，外部董事4名。董事会下设三个专门委员会：战略与投资委员会、薪酬与考核委员会、审计与风险委员会。</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董事会</w:t>
      </w:r>
      <w:r>
        <w:rPr>
          <w:rFonts w:ascii="Times New Roman" w:hAnsi="Times New Roman" w:eastAsia="仿宋_GB2312" w:cs="Times New Roman"/>
          <w:i w:val="0"/>
          <w:iCs w:val="0"/>
          <w:caps w:val="0"/>
          <w:color w:val="auto"/>
          <w:spacing w:val="0"/>
          <w:sz w:val="32"/>
          <w:szCs w:val="32"/>
          <w:highlight w:val="none"/>
          <w:shd w:val="clear" w:fill="auto"/>
        </w:rPr>
        <w:t>维护股东的合法权益</w:t>
      </w:r>
      <w:r>
        <w:rPr>
          <w:rFonts w:hint="eastAsia" w:ascii="Times New Roman" w:hAnsi="Times New Roman" w:eastAsia="仿宋_GB2312" w:cs="Times New Roman"/>
          <w:i w:val="0"/>
          <w:iCs w:val="0"/>
          <w:caps w:val="0"/>
          <w:color w:val="auto"/>
          <w:spacing w:val="0"/>
          <w:sz w:val="32"/>
          <w:szCs w:val="32"/>
          <w:highlight w:val="none"/>
          <w:shd w:val="clear" w:fill="auto"/>
          <w:lang w:eastAsia="zh-CN"/>
        </w:rPr>
        <w:t>，</w:t>
      </w:r>
      <w:r>
        <w:rPr>
          <w:rFonts w:ascii="Times New Roman" w:hAnsi="Times New Roman" w:eastAsia="仿宋_GB2312" w:cs="Times New Roman"/>
          <w:i w:val="0"/>
          <w:iCs w:val="0"/>
          <w:caps w:val="0"/>
          <w:color w:val="auto"/>
          <w:spacing w:val="0"/>
          <w:sz w:val="32"/>
          <w:szCs w:val="32"/>
          <w:highlight w:val="none"/>
          <w:shd w:val="clear" w:fill="auto"/>
        </w:rPr>
        <w:t>决定公司改革发展方向、主要目标任务及重点工作安排等重大问题时，事先听取党组织的意见。</w:t>
      </w:r>
      <w:r>
        <w:rPr>
          <w:rFonts w:hint="eastAsia" w:ascii="Times New Roman" w:hAnsi="Times New Roman" w:eastAsia="仿宋_GB2312" w:cs="Times New Roman"/>
          <w:i w:val="0"/>
          <w:iCs w:val="0"/>
          <w:caps w:val="0"/>
          <w:color w:val="auto"/>
          <w:spacing w:val="0"/>
          <w:sz w:val="32"/>
          <w:szCs w:val="32"/>
          <w:highlight w:val="none"/>
          <w:shd w:val="clear" w:fill="auto"/>
          <w:lang w:val="en-US" w:eastAsia="zh-CN"/>
        </w:rPr>
        <w:t>同时，</w:t>
      </w:r>
      <w:r>
        <w:rPr>
          <w:rFonts w:hint="default" w:ascii="Times New Roman" w:hAnsi="Times New Roman" w:eastAsia="仿宋_GB2312" w:cs="Times New Roman"/>
          <w:color w:val="auto"/>
          <w:sz w:val="32"/>
          <w:szCs w:val="32"/>
          <w:highlight w:val="none"/>
        </w:rPr>
        <w:t>做好外部董事信息服务支撑工作，及时向外部董事提供履职所需的有关信息，有力支撑董事会科学决策</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，集团公司</w:t>
      </w:r>
      <w:r>
        <w:rPr>
          <w:rFonts w:hint="default" w:ascii="Times New Roman" w:hAnsi="Times New Roman" w:eastAsia="仿宋_GB2312" w:cs="Times New Roman"/>
          <w:color w:val="auto"/>
          <w:sz w:val="32"/>
          <w:szCs w:val="32"/>
          <w:highlight w:val="none"/>
        </w:rPr>
        <w:t>共召开董事会议15次，审议议案65个，通过议案65项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召开战略与投资委员会工作会议5次、薪酬与考核委员会工作会议2次、审计与风险委员会工作会议7次。</w:t>
      </w:r>
      <w:r>
        <w:rPr>
          <w:rFonts w:hint="default" w:ascii="Times New Roman" w:hAnsi="Times New Roman" w:eastAsia="仿宋_GB2312" w:cs="Times New Roman"/>
          <w:color w:val="auto"/>
          <w:sz w:val="32"/>
          <w:szCs w:val="32"/>
          <w:highlight w:val="none"/>
          <w:lang w:eastAsia="zh-CN"/>
        </w:rPr>
        <w:t>全</w:t>
      </w:r>
      <w:r>
        <w:rPr>
          <w:rFonts w:hint="default" w:ascii="Times New Roman" w:hAnsi="Times New Roman" w:eastAsia="仿宋_GB2312" w:cs="Times New Roman"/>
          <w:color w:val="auto"/>
          <w:sz w:val="32"/>
          <w:szCs w:val="32"/>
          <w:highlight w:val="none"/>
        </w:rPr>
        <w:t>年共督导落实13项重点工作，截至2023年末已完结3项，持续推进10项。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按照董事会建设相关工作要求和“应建尽建、配齐配强”工作原则，对各子公司进行董事会应建尽建评价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全面完成子公司外部董事占多数要求。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依法治企 优化合规管理</w:t>
      </w:r>
    </w:p>
    <w:p>
      <w:pPr>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2023年，国富投资集团积极推进法律管理与经营管理深度融合，强化合规管理，健全了“合规管理+合同管理+招标管理”一体化法律监督与合规管理制度体系，开展依法合规经营宣传教育，为集团公司健康发展提供可靠的法律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集团公司设立了合规委员会和首席合规官，制定了《主要负责人履行推进法治建设和合规管理第一责任人职责实施办法》，重新修订了集团公司《合规管理办法》，制定了合规风险识别评估预警制度、合规审查制度等配套制度，健全了合规管理组织体系，完善了合规管理制度规范体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开展了合规风险识别评估工作，建立了合规风险数据库，实现了合规风险动态管理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建立合规风险预警机制，提升了合规风险应急处置能力。</w:t>
      </w:r>
    </w:p>
    <w:p>
      <w:pPr>
        <w:widowControl/>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2023年，集团公司</w:t>
      </w:r>
      <w:r>
        <w:rPr>
          <w:rFonts w:hint="default" w:ascii="Times New Roman" w:hAnsi="Times New Roman" w:eastAsia="仿宋_GB2312" w:cs="Times New Roman"/>
          <w:color w:val="auto"/>
          <w:sz w:val="32"/>
          <w:szCs w:val="32"/>
          <w:highlight w:val="none"/>
          <w:lang w:val="en-US" w:eastAsia="zh-CN"/>
        </w:rPr>
        <w:t>审查新签合同协议217份，涉及金额近4亿元，在签订合同履职情况穿透检查方面，组织了2次全面的检查。</w:t>
      </w:r>
      <w:r>
        <w:rPr>
          <w:rFonts w:hint="default" w:ascii="Times New Roman" w:hAnsi="Times New Roman" w:eastAsia="仿宋_GB2312" w:cs="Times New Roman"/>
          <w:color w:val="auto"/>
          <w:kern w:val="0"/>
          <w:sz w:val="32"/>
          <w:szCs w:val="32"/>
          <w:highlight w:val="none"/>
          <w:lang w:val="en-US" w:eastAsia="zh-CN" w:bidi="ar"/>
        </w:rPr>
        <w:t>对</w:t>
      </w:r>
      <w:r>
        <w:rPr>
          <w:rFonts w:hint="default" w:ascii="Times New Roman" w:hAnsi="Times New Roman" w:eastAsia="仿宋_GB2312" w:cs="Times New Roman"/>
          <w:color w:val="auto"/>
          <w:kern w:val="0"/>
          <w:sz w:val="32"/>
          <w:szCs w:val="32"/>
          <w:highlight w:val="none"/>
          <w:lang w:bidi="ar"/>
        </w:rPr>
        <w:t>招标采购</w:t>
      </w:r>
      <w:r>
        <w:rPr>
          <w:rFonts w:hint="default" w:ascii="Times New Roman" w:hAnsi="Times New Roman" w:eastAsia="仿宋_GB2312" w:cs="Times New Roman"/>
          <w:color w:val="auto"/>
          <w:kern w:val="0"/>
          <w:sz w:val="32"/>
          <w:szCs w:val="32"/>
          <w:highlight w:val="none"/>
          <w:lang w:val="en-US" w:eastAsia="zh-CN" w:bidi="ar"/>
        </w:rPr>
        <w:t>进行</w:t>
      </w:r>
      <w:r>
        <w:rPr>
          <w:rFonts w:hint="default" w:ascii="Times New Roman" w:hAnsi="Times New Roman" w:eastAsia="仿宋_GB2312" w:cs="Times New Roman"/>
          <w:color w:val="auto"/>
          <w:kern w:val="0"/>
          <w:sz w:val="32"/>
          <w:szCs w:val="32"/>
          <w:highlight w:val="none"/>
          <w:lang w:bidi="ar"/>
        </w:rPr>
        <w:t>监督、管理和服务，制定了集团公司年度招标计划表，涉及11个招标项目，覆盖了集团公司各个业务领域和重点工程</w:t>
      </w:r>
      <w:r>
        <w:rPr>
          <w:rFonts w:hint="default" w:ascii="Times New Roman" w:hAnsi="Times New Roman" w:eastAsia="仿宋_GB2312" w:cs="Times New Roman"/>
          <w:color w:val="auto"/>
          <w:kern w:val="0"/>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，集团公司</w:t>
      </w:r>
      <w:r>
        <w:rPr>
          <w:rFonts w:hint="default" w:ascii="Times New Roman" w:hAnsi="Times New Roman" w:eastAsia="仿宋_GB2312" w:cs="Times New Roman"/>
          <w:color w:val="auto"/>
          <w:sz w:val="32"/>
          <w:szCs w:val="32"/>
          <w:highlight w:val="none"/>
        </w:rPr>
        <w:t>共组织</w:t>
      </w:r>
      <w:r>
        <w:rPr>
          <w:rFonts w:hint="default" w:ascii="Times New Roman" w:hAnsi="Times New Roman" w:eastAsia="仿宋_GB2312" w:cs="Times New Roman"/>
          <w:color w:val="auto"/>
          <w:sz w:val="32"/>
          <w:szCs w:val="32"/>
          <w:highlight w:val="none"/>
          <w:lang w:eastAsia="zh-CN"/>
        </w:rPr>
        <w:t>参加了</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法治大讲堂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培训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3次法律合规</w:t>
      </w:r>
      <w:r>
        <w:rPr>
          <w:rFonts w:hint="default" w:ascii="Times New Roman" w:hAnsi="Times New Roman" w:eastAsia="仿宋_GB2312" w:cs="Times New Roman"/>
          <w:color w:val="auto"/>
          <w:sz w:val="32"/>
          <w:szCs w:val="32"/>
          <w:highlight w:val="none"/>
        </w:rPr>
        <w:t>培训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提升了全员合规意识。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风险防控 健全内控机制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eastAsia="仿宋_GB2312" w:cs="Times New Roman"/>
          <w:color w:val="auto"/>
          <w:kern w:val="0"/>
          <w:sz w:val="31"/>
          <w:szCs w:val="31"/>
          <w:highlight w:val="none"/>
          <w:lang w:val="en-US" w:eastAsia="zh-CN" w:bidi="ar"/>
        </w:rPr>
        <w:t>2023年，国富投资集团</w:t>
      </w:r>
      <w:r>
        <w:rPr>
          <w:rFonts w:ascii="Times New Roman" w:hAnsi="Times New Roman" w:eastAsia="仿宋_GB2312" w:cs="Times New Roman"/>
          <w:color w:val="auto"/>
          <w:kern w:val="0"/>
          <w:sz w:val="31"/>
          <w:szCs w:val="31"/>
          <w:highlight w:val="none"/>
          <w:lang w:val="en-US" w:eastAsia="zh-CN" w:bidi="ar"/>
        </w:rPr>
        <w:t>深入学习贯彻省政府、省国资委关于加强风险隐患防范化解的有关要求，</w:t>
      </w:r>
      <w:r>
        <w:rPr>
          <w:rFonts w:hint="default" w:ascii="Times New Roman" w:hAnsi="Times New Roman" w:eastAsia="仿宋_GB2312" w:cs="Times New Roman"/>
          <w:color w:val="auto"/>
          <w:kern w:val="0"/>
          <w:sz w:val="31"/>
          <w:szCs w:val="31"/>
          <w:highlight w:val="none"/>
          <w:lang w:val="en-US" w:eastAsia="zh-CN" w:bidi="ar"/>
        </w:rPr>
        <w:t>始终坚持“稳字当头”总基调，以“强内控、防风险、促合规”为目标，有效运用组织体系和制度体系防范化解各领域风险，把好企业发展“方向盘”。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eastAsia="宋体" w:cs="Times New Roman"/>
          <w:color w:val="auto"/>
          <w:kern w:val="0"/>
          <w:sz w:val="31"/>
          <w:szCs w:val="31"/>
          <w:highlight w:val="none"/>
          <w:lang w:val="en-US" w:eastAsia="zh-CN" w:bidi="ar"/>
        </w:rPr>
        <w:t>2023</w:t>
      </w:r>
      <w:r>
        <w:rPr>
          <w:rFonts w:ascii="Times New Roman" w:hAnsi="Times New Roman" w:eastAsia="仿宋_GB2312" w:cs="Times New Roman"/>
          <w:color w:val="auto"/>
          <w:kern w:val="0"/>
          <w:sz w:val="31"/>
          <w:szCs w:val="31"/>
          <w:highlight w:val="none"/>
          <w:lang w:val="en-US" w:eastAsia="zh-CN" w:bidi="ar"/>
        </w:rPr>
        <w:t>年</w:t>
      </w:r>
      <w:r>
        <w:rPr>
          <w:rFonts w:hint="eastAsia"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集团公司坚持常态化风险隐患排查化解工作，以《全面风险管理办法》为行动指引，监督和指导各部、子公司按月对本单位风险隐患进行排查。制定了《</w:t>
      </w:r>
      <w:r>
        <w:rPr>
          <w:rFonts w:hint="default" w:ascii="Times New Roman" w:hAnsi="Times New Roman" w:eastAsia="宋体" w:cs="Times New Roman"/>
          <w:color w:val="auto"/>
          <w:kern w:val="0"/>
          <w:sz w:val="31"/>
          <w:szCs w:val="31"/>
          <w:highlight w:val="none"/>
          <w:lang w:val="en-US" w:eastAsia="zh-CN" w:bidi="ar"/>
        </w:rPr>
        <w:t>2023-2025</w:t>
      </w:r>
      <w:r>
        <w:rPr>
          <w:rFonts w:ascii="Times New Roman" w:hAnsi="Times New Roman" w:eastAsia="仿宋_GB2312" w:cs="Times New Roman"/>
          <w:color w:val="auto"/>
          <w:kern w:val="0"/>
          <w:sz w:val="31"/>
          <w:szCs w:val="31"/>
          <w:highlight w:val="none"/>
          <w:lang w:val="en-US" w:eastAsia="zh-CN" w:bidi="ar"/>
        </w:rPr>
        <w:t>年内控监督评价工作方案》《</w:t>
      </w:r>
      <w:r>
        <w:rPr>
          <w:rFonts w:hint="default" w:ascii="Times New Roman" w:hAnsi="Times New Roman" w:eastAsia="宋体" w:cs="Times New Roman"/>
          <w:color w:val="auto"/>
          <w:kern w:val="0"/>
          <w:sz w:val="31"/>
          <w:szCs w:val="31"/>
          <w:highlight w:val="none"/>
          <w:lang w:val="en-US" w:eastAsia="zh-CN" w:bidi="ar"/>
        </w:rPr>
        <w:t xml:space="preserve">2023 </w:t>
      </w:r>
      <w:r>
        <w:rPr>
          <w:rFonts w:ascii="Times New Roman" w:hAnsi="Times New Roman" w:eastAsia="仿宋_GB2312" w:cs="Times New Roman"/>
          <w:color w:val="auto"/>
          <w:kern w:val="0"/>
          <w:sz w:val="31"/>
          <w:szCs w:val="31"/>
          <w:highlight w:val="none"/>
          <w:lang w:val="en-US" w:eastAsia="zh-CN" w:bidi="ar"/>
        </w:rPr>
        <w:t>年度内部控制体系建设与监督工作规划》《内控制度建设年活动方案》。</w:t>
      </w:r>
      <w:r>
        <w:rPr>
          <w:rFonts w:hint="default" w:ascii="Times New Roman" w:hAnsi="Times New Roman" w:eastAsia="仿宋_GB2312" w:cs="Times New Roman"/>
          <w:color w:val="auto"/>
          <w:kern w:val="0"/>
          <w:sz w:val="31"/>
          <w:szCs w:val="31"/>
          <w:highlight w:val="none"/>
          <w:lang w:val="en-US" w:eastAsia="zh-CN" w:bidi="ar"/>
        </w:rPr>
        <w:t>2</w:t>
      </w:r>
      <w:r>
        <w:rPr>
          <w:rFonts w:hint="default" w:ascii="Times New Roman" w:hAnsi="Times New Roman" w:eastAsia="宋体" w:cs="Times New Roman"/>
          <w:color w:val="auto"/>
          <w:kern w:val="0"/>
          <w:sz w:val="31"/>
          <w:szCs w:val="31"/>
          <w:highlight w:val="none"/>
          <w:lang w:val="en-US" w:eastAsia="zh-CN" w:bidi="ar"/>
        </w:rPr>
        <w:t>023</w:t>
      </w:r>
      <w:r>
        <w:rPr>
          <w:rFonts w:ascii="Times New Roman" w:hAnsi="Times New Roman" w:eastAsia="仿宋_GB2312" w:cs="Times New Roman"/>
          <w:color w:val="auto"/>
          <w:kern w:val="0"/>
          <w:sz w:val="31"/>
          <w:szCs w:val="31"/>
          <w:highlight w:val="none"/>
          <w:lang w:val="en-US" w:eastAsia="zh-CN" w:bidi="ar"/>
        </w:rPr>
        <w:t>年，指导</w:t>
      </w:r>
      <w:r>
        <w:rPr>
          <w:rFonts w:hint="default" w:ascii="Times New Roman" w:hAnsi="Times New Roman" w:eastAsia="宋体" w:cs="Times New Roman"/>
          <w:color w:val="auto"/>
          <w:kern w:val="0"/>
          <w:sz w:val="31"/>
          <w:szCs w:val="31"/>
          <w:highlight w:val="none"/>
          <w:lang w:val="en-US" w:eastAsia="zh-CN" w:bidi="ar"/>
        </w:rPr>
        <w:t>7</w:t>
      </w:r>
      <w:r>
        <w:rPr>
          <w:rFonts w:ascii="Times New Roman" w:hAnsi="Times New Roman" w:eastAsia="仿宋_GB2312" w:cs="Times New Roman"/>
          <w:color w:val="auto"/>
          <w:kern w:val="0"/>
          <w:sz w:val="31"/>
          <w:szCs w:val="31"/>
          <w:highlight w:val="none"/>
          <w:lang w:val="en-US" w:eastAsia="zh-CN" w:bidi="ar"/>
        </w:rPr>
        <w:t xml:space="preserve">家子公司开展完成了内控自评价工作，实现了子公司年度内控自评价全覆盖的目标。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2023</w:t>
      </w:r>
      <w:r>
        <w:rPr>
          <w:rFonts w:ascii="Times New Roman" w:hAnsi="Times New Roman" w:eastAsia="仿宋_GB2312" w:cs="Times New Roman"/>
          <w:color w:val="auto"/>
          <w:kern w:val="0"/>
          <w:sz w:val="31"/>
          <w:szCs w:val="31"/>
          <w:highlight w:val="none"/>
          <w:lang w:val="en-US" w:eastAsia="zh-CN" w:bidi="ar"/>
        </w:rPr>
        <w:t>年</w:t>
      </w:r>
      <w:r>
        <w:rPr>
          <w:rFonts w:hint="eastAsia"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集团公司围绕境外经营投资管理、资金集中管理、重大股权投资项目等开展专项审计</w:t>
      </w:r>
      <w:r>
        <w:rPr>
          <w:rFonts w:hint="default" w:ascii="Times New Roman" w:hAnsi="Times New Roman" w:eastAsia="宋体" w:cs="Times New Roman"/>
          <w:color w:val="auto"/>
          <w:kern w:val="0"/>
          <w:sz w:val="31"/>
          <w:szCs w:val="31"/>
          <w:highlight w:val="none"/>
          <w:lang w:val="en-US" w:eastAsia="zh-CN" w:bidi="ar"/>
        </w:rPr>
        <w:t>4</w:t>
      </w:r>
      <w:r>
        <w:rPr>
          <w:rFonts w:ascii="Times New Roman" w:hAnsi="Times New Roman" w:eastAsia="仿宋_GB2312" w:cs="Times New Roman"/>
          <w:color w:val="auto"/>
          <w:kern w:val="0"/>
          <w:sz w:val="31"/>
          <w:szCs w:val="31"/>
          <w:highlight w:val="none"/>
          <w:lang w:val="en-US" w:eastAsia="zh-CN" w:bidi="ar"/>
        </w:rPr>
        <w:t xml:space="preserve">次，委托第三方机构开展经济责任审计 </w:t>
      </w:r>
      <w:r>
        <w:rPr>
          <w:rFonts w:hint="default" w:ascii="Times New Roman" w:hAnsi="Times New Roman" w:eastAsia="宋体" w:cs="Times New Roman"/>
          <w:color w:val="auto"/>
          <w:kern w:val="0"/>
          <w:sz w:val="31"/>
          <w:szCs w:val="31"/>
          <w:highlight w:val="none"/>
          <w:lang w:val="en-US" w:eastAsia="zh-CN" w:bidi="ar"/>
        </w:rPr>
        <w:t xml:space="preserve">1 </w:t>
      </w:r>
      <w:r>
        <w:rPr>
          <w:rFonts w:ascii="Times New Roman" w:hAnsi="Times New Roman" w:eastAsia="仿宋_GB2312" w:cs="Times New Roman"/>
          <w:color w:val="auto"/>
          <w:kern w:val="0"/>
          <w:sz w:val="31"/>
          <w:szCs w:val="31"/>
          <w:highlight w:val="none"/>
          <w:lang w:val="en-US" w:eastAsia="zh-CN" w:bidi="ar"/>
        </w:rPr>
        <w:t>次</w:t>
      </w:r>
      <w:r>
        <w:rPr>
          <w:rFonts w:hint="default"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及时识别风险隐患，弥补管理漏洞，打通监督链条上成果运行环节</w:t>
      </w:r>
      <w:r>
        <w:rPr>
          <w:rFonts w:hint="default" w:ascii="Times New Roman" w:hAnsi="Times New Roman" w:eastAsia="宋体"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最后一公里</w:t>
      </w:r>
      <w:r>
        <w:rPr>
          <w:rFonts w:hint="default" w:ascii="Times New Roman" w:hAnsi="Times New Roman" w:eastAsia="宋体"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2023</w:t>
      </w:r>
      <w:r>
        <w:rPr>
          <w:rFonts w:ascii="Times New Roman" w:hAnsi="Times New Roman" w:eastAsia="仿宋_GB2312" w:cs="Times New Roman"/>
          <w:color w:val="auto"/>
          <w:kern w:val="0"/>
          <w:sz w:val="31"/>
          <w:szCs w:val="31"/>
          <w:highlight w:val="none"/>
          <w:lang w:val="en-US" w:eastAsia="zh-CN" w:bidi="ar"/>
        </w:rPr>
        <w:t>年</w:t>
      </w:r>
      <w:r>
        <w:rPr>
          <w:rFonts w:hint="eastAsia"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集团公司持续强化重大项目风险评估机制。全年共出具风险评估报告</w:t>
      </w:r>
      <w:r>
        <w:rPr>
          <w:rFonts w:hint="default" w:ascii="Times New Roman" w:hAnsi="Times New Roman" w:eastAsia="宋体" w:cs="Times New Roman"/>
          <w:color w:val="auto"/>
          <w:kern w:val="0"/>
          <w:sz w:val="31"/>
          <w:szCs w:val="31"/>
          <w:highlight w:val="none"/>
          <w:lang w:val="en-US" w:eastAsia="zh-CN" w:bidi="ar"/>
        </w:rPr>
        <w:t>9</w:t>
      </w:r>
      <w:r>
        <w:rPr>
          <w:rFonts w:ascii="Times New Roman" w:hAnsi="Times New Roman" w:eastAsia="仿宋_GB2312" w:cs="Times New Roman"/>
          <w:color w:val="auto"/>
          <w:kern w:val="0"/>
          <w:sz w:val="31"/>
          <w:szCs w:val="31"/>
          <w:highlight w:val="none"/>
          <w:lang w:val="en-US" w:eastAsia="zh-CN" w:bidi="ar"/>
        </w:rPr>
        <w:t xml:space="preserve">篇，提出审核意见及优化建议 </w:t>
      </w:r>
      <w:r>
        <w:rPr>
          <w:rFonts w:hint="default" w:ascii="Times New Roman" w:hAnsi="Times New Roman" w:eastAsia="宋体" w:cs="Times New Roman"/>
          <w:color w:val="auto"/>
          <w:kern w:val="0"/>
          <w:sz w:val="31"/>
          <w:szCs w:val="31"/>
          <w:highlight w:val="none"/>
          <w:lang w:val="en-US" w:eastAsia="zh-CN" w:bidi="ar"/>
        </w:rPr>
        <w:t xml:space="preserve">16 </w:t>
      </w:r>
      <w:r>
        <w:rPr>
          <w:rFonts w:ascii="Times New Roman" w:hAnsi="Times New Roman" w:eastAsia="仿宋_GB2312" w:cs="Times New Roman"/>
          <w:color w:val="auto"/>
          <w:kern w:val="0"/>
          <w:sz w:val="31"/>
          <w:szCs w:val="31"/>
          <w:highlight w:val="none"/>
          <w:lang w:val="en-US" w:eastAsia="zh-CN" w:bidi="ar"/>
        </w:rPr>
        <w:t xml:space="preserve">篇，组织专题论证会 </w:t>
      </w:r>
      <w:r>
        <w:rPr>
          <w:rFonts w:hint="default" w:ascii="Times New Roman" w:hAnsi="Times New Roman" w:eastAsia="宋体" w:cs="Times New Roman"/>
          <w:color w:val="auto"/>
          <w:kern w:val="0"/>
          <w:sz w:val="31"/>
          <w:szCs w:val="31"/>
          <w:highlight w:val="none"/>
          <w:lang w:val="en-US" w:eastAsia="zh-CN" w:bidi="ar"/>
        </w:rPr>
        <w:t xml:space="preserve">14 </w:t>
      </w:r>
      <w:r>
        <w:rPr>
          <w:rFonts w:ascii="Times New Roman" w:hAnsi="Times New Roman" w:eastAsia="仿宋_GB2312" w:cs="Times New Roman"/>
          <w:color w:val="auto"/>
          <w:kern w:val="0"/>
          <w:sz w:val="31"/>
          <w:szCs w:val="31"/>
          <w:highlight w:val="none"/>
          <w:lang w:val="en-US" w:eastAsia="zh-CN" w:bidi="ar"/>
        </w:rPr>
        <w:t xml:space="preserve">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eastAsia="仿宋_GB2312" w:cs="Times New Roman"/>
          <w:color w:val="auto"/>
          <w:kern w:val="0"/>
          <w:sz w:val="31"/>
          <w:szCs w:val="31"/>
          <w:highlight w:val="none"/>
          <w:lang w:val="en-US" w:eastAsia="zh-CN" w:bidi="ar"/>
        </w:rPr>
        <w:t>2023年</w:t>
      </w:r>
      <w:r>
        <w:rPr>
          <w:rFonts w:hint="eastAsia"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集团公司优化完善制度，促进管理效能提升</w:t>
      </w:r>
      <w:r>
        <w:rPr>
          <w:rFonts w:hint="default"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 xml:space="preserve">新立制度 </w:t>
      </w:r>
      <w:r>
        <w:rPr>
          <w:rFonts w:hint="default" w:ascii="Times New Roman" w:hAnsi="Times New Roman" w:eastAsia="宋体" w:cs="Times New Roman"/>
          <w:color w:val="auto"/>
          <w:kern w:val="0"/>
          <w:sz w:val="31"/>
          <w:szCs w:val="31"/>
          <w:highlight w:val="none"/>
          <w:lang w:val="en-US" w:eastAsia="zh-CN" w:bidi="ar"/>
        </w:rPr>
        <w:t xml:space="preserve">20 </w:t>
      </w:r>
      <w:r>
        <w:rPr>
          <w:rFonts w:ascii="Times New Roman" w:hAnsi="Times New Roman" w:eastAsia="仿宋_GB2312" w:cs="Times New Roman"/>
          <w:color w:val="auto"/>
          <w:kern w:val="0"/>
          <w:sz w:val="31"/>
          <w:szCs w:val="31"/>
          <w:highlight w:val="none"/>
          <w:lang w:val="en-US" w:eastAsia="zh-CN" w:bidi="ar"/>
        </w:rPr>
        <w:t xml:space="preserve">项、修订制度 </w:t>
      </w:r>
      <w:r>
        <w:rPr>
          <w:rFonts w:hint="default" w:ascii="Times New Roman" w:hAnsi="Times New Roman" w:eastAsia="宋体" w:cs="Times New Roman"/>
          <w:color w:val="auto"/>
          <w:kern w:val="0"/>
          <w:sz w:val="31"/>
          <w:szCs w:val="31"/>
          <w:highlight w:val="none"/>
          <w:lang w:val="en-US" w:eastAsia="zh-CN" w:bidi="ar"/>
        </w:rPr>
        <w:t xml:space="preserve">22 </w:t>
      </w:r>
      <w:r>
        <w:rPr>
          <w:rFonts w:ascii="Times New Roman" w:hAnsi="Times New Roman" w:eastAsia="仿宋_GB2312" w:cs="Times New Roman"/>
          <w:color w:val="auto"/>
          <w:kern w:val="0"/>
          <w:sz w:val="31"/>
          <w:szCs w:val="31"/>
          <w:highlight w:val="none"/>
          <w:lang w:val="en-US" w:eastAsia="zh-CN" w:bidi="ar"/>
        </w:rPr>
        <w:t>项</w:t>
      </w:r>
      <w:r>
        <w:rPr>
          <w:rFonts w:hint="default"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特别是建立了重大经营风险事件报告工作机制，在新业务领域及新设分支及时建立起内控制度体系。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r>
        <w:rPr>
          <w:rFonts w:hint="default" w:ascii="Times New Roman" w:hAnsi="Times New Roman" w:eastAsia="宋体" w:cs="Times New Roman"/>
          <w:color w:val="auto"/>
          <w:kern w:val="0"/>
          <w:sz w:val="31"/>
          <w:szCs w:val="31"/>
          <w:highlight w:val="none"/>
          <w:lang w:val="en-US" w:eastAsia="zh-CN" w:bidi="ar"/>
        </w:rPr>
        <w:t>2023</w:t>
      </w:r>
      <w:r>
        <w:rPr>
          <w:rFonts w:ascii="Times New Roman" w:hAnsi="Times New Roman" w:eastAsia="仿宋_GB2312" w:cs="Times New Roman"/>
          <w:color w:val="auto"/>
          <w:kern w:val="0"/>
          <w:sz w:val="31"/>
          <w:szCs w:val="31"/>
          <w:highlight w:val="none"/>
          <w:lang w:val="en-US" w:eastAsia="zh-CN" w:bidi="ar"/>
        </w:rPr>
        <w:t>年</w:t>
      </w:r>
      <w:r>
        <w:rPr>
          <w:rFonts w:hint="eastAsia" w:ascii="Times New Roman" w:hAnsi="Times New Roman" w:eastAsia="仿宋_GB2312" w:cs="Times New Roman"/>
          <w:color w:val="auto"/>
          <w:kern w:val="0"/>
          <w:sz w:val="31"/>
          <w:szCs w:val="31"/>
          <w:highlight w:val="none"/>
          <w:lang w:val="en-US" w:eastAsia="zh-CN" w:bidi="ar"/>
        </w:rPr>
        <w:t>，</w:t>
      </w:r>
      <w:r>
        <w:rPr>
          <w:rFonts w:ascii="Times New Roman" w:hAnsi="Times New Roman" w:eastAsia="仿宋_GB2312" w:cs="Times New Roman"/>
          <w:color w:val="auto"/>
          <w:kern w:val="0"/>
          <w:sz w:val="31"/>
          <w:szCs w:val="31"/>
          <w:highlight w:val="none"/>
          <w:lang w:val="en-US" w:eastAsia="zh-CN" w:bidi="ar"/>
        </w:rPr>
        <w:t>集团公司</w:t>
      </w:r>
      <w:r>
        <w:rPr>
          <w:rFonts w:hint="default" w:ascii="Times New Roman" w:hAnsi="Times New Roman" w:eastAsia="仿宋_GB2312" w:cs="Times New Roman"/>
          <w:color w:val="auto"/>
          <w:kern w:val="0"/>
          <w:sz w:val="31"/>
          <w:szCs w:val="31"/>
          <w:highlight w:val="none"/>
          <w:lang w:val="en-US" w:eastAsia="zh-CN" w:bidi="ar"/>
        </w:rPr>
        <w:t>认真学习贯彻中央及我省安全生产有关文件精神，</w:t>
      </w:r>
      <w:r>
        <w:rPr>
          <w:rFonts w:ascii="Times New Roman" w:hAnsi="Times New Roman" w:eastAsia="仿宋_GB2312" w:cs="Times New Roman"/>
          <w:color w:val="auto"/>
          <w:kern w:val="0"/>
          <w:sz w:val="31"/>
          <w:szCs w:val="31"/>
          <w:highlight w:val="none"/>
          <w:lang w:val="en-US" w:eastAsia="zh-CN" w:bidi="ar"/>
        </w:rPr>
        <w:t>开展安全生产集中巡</w:t>
      </w:r>
      <w:r>
        <w:rPr>
          <w:rFonts w:hint="default" w:ascii="Times New Roman" w:hAnsi="Times New Roman" w:eastAsia="仿宋_GB2312" w:cs="Times New Roman"/>
          <w:color w:val="auto"/>
          <w:kern w:val="0"/>
          <w:sz w:val="31"/>
          <w:szCs w:val="31"/>
          <w:highlight w:val="none"/>
          <w:lang w:val="en-US" w:eastAsia="zh-CN" w:bidi="ar"/>
        </w:rPr>
        <w:t xml:space="preserve">查 </w:t>
      </w:r>
      <w:r>
        <w:rPr>
          <w:rFonts w:hint="default" w:ascii="Times New Roman" w:hAnsi="Times New Roman" w:eastAsia="宋体" w:cs="Times New Roman"/>
          <w:color w:val="auto"/>
          <w:kern w:val="0"/>
          <w:sz w:val="31"/>
          <w:szCs w:val="31"/>
          <w:highlight w:val="none"/>
          <w:lang w:val="en-US" w:eastAsia="zh-CN" w:bidi="ar"/>
        </w:rPr>
        <w:t xml:space="preserve">10 </w:t>
      </w:r>
      <w:r>
        <w:rPr>
          <w:rFonts w:hint="default" w:ascii="Times New Roman" w:hAnsi="Times New Roman" w:eastAsia="仿宋_GB2312" w:cs="Times New Roman"/>
          <w:color w:val="auto"/>
          <w:kern w:val="0"/>
          <w:sz w:val="31"/>
          <w:szCs w:val="31"/>
          <w:highlight w:val="none"/>
          <w:lang w:val="en-US" w:eastAsia="zh-CN" w:bidi="ar"/>
        </w:rPr>
        <w:t xml:space="preserve">次，节假日现场巡查 </w:t>
      </w:r>
      <w:r>
        <w:rPr>
          <w:rFonts w:hint="default" w:ascii="Times New Roman" w:hAnsi="Times New Roman" w:eastAsia="宋体" w:cs="Times New Roman"/>
          <w:color w:val="auto"/>
          <w:kern w:val="0"/>
          <w:sz w:val="31"/>
          <w:szCs w:val="31"/>
          <w:highlight w:val="none"/>
          <w:lang w:val="en-US" w:eastAsia="zh-CN" w:bidi="ar"/>
        </w:rPr>
        <w:t xml:space="preserve">3 </w:t>
      </w:r>
      <w:r>
        <w:rPr>
          <w:rFonts w:hint="default" w:ascii="Times New Roman" w:hAnsi="Times New Roman" w:eastAsia="仿宋_GB2312" w:cs="Times New Roman"/>
          <w:color w:val="auto"/>
          <w:kern w:val="0"/>
          <w:sz w:val="31"/>
          <w:szCs w:val="31"/>
          <w:highlight w:val="none"/>
          <w:lang w:val="en-US" w:eastAsia="zh-CN" w:bidi="ar"/>
        </w:rPr>
        <w:t xml:space="preserve">次，集中召开安全生产专题会议 </w:t>
      </w:r>
      <w:r>
        <w:rPr>
          <w:rFonts w:hint="default" w:ascii="Times New Roman" w:hAnsi="Times New Roman" w:eastAsia="宋体" w:cs="Times New Roman"/>
          <w:color w:val="auto"/>
          <w:kern w:val="0"/>
          <w:sz w:val="31"/>
          <w:szCs w:val="31"/>
          <w:highlight w:val="none"/>
          <w:lang w:val="en-US" w:eastAsia="zh-CN" w:bidi="ar"/>
        </w:rPr>
        <w:t xml:space="preserve">4 </w:t>
      </w:r>
      <w:r>
        <w:rPr>
          <w:rFonts w:hint="default" w:ascii="Times New Roman" w:hAnsi="Times New Roman" w:eastAsia="仿宋_GB2312" w:cs="Times New Roman"/>
          <w:color w:val="auto"/>
          <w:kern w:val="0"/>
          <w:sz w:val="31"/>
          <w:szCs w:val="31"/>
          <w:highlight w:val="none"/>
          <w:lang w:val="en-US" w:eastAsia="zh-CN" w:bidi="ar"/>
        </w:rPr>
        <w:t xml:space="preserve">次，安全生产培训 </w:t>
      </w:r>
      <w:r>
        <w:rPr>
          <w:rFonts w:hint="default" w:ascii="Times New Roman" w:hAnsi="Times New Roman" w:eastAsia="宋体" w:cs="Times New Roman"/>
          <w:color w:val="auto"/>
          <w:kern w:val="0"/>
          <w:sz w:val="31"/>
          <w:szCs w:val="31"/>
          <w:highlight w:val="none"/>
          <w:lang w:val="en-US" w:eastAsia="zh-CN" w:bidi="ar"/>
        </w:rPr>
        <w:t xml:space="preserve">4 </w:t>
      </w:r>
      <w:r>
        <w:rPr>
          <w:rFonts w:hint="default" w:ascii="Times New Roman" w:hAnsi="Times New Roman" w:eastAsia="仿宋_GB2312" w:cs="Times New Roman"/>
          <w:color w:val="auto"/>
          <w:kern w:val="0"/>
          <w:sz w:val="31"/>
          <w:szCs w:val="31"/>
          <w:highlight w:val="none"/>
          <w:lang w:val="en-US" w:eastAsia="zh-CN" w:bidi="ar"/>
        </w:rPr>
        <w:t xml:space="preserve">次，出台安全生产文件 </w:t>
      </w:r>
      <w:r>
        <w:rPr>
          <w:rFonts w:hint="default" w:ascii="Times New Roman" w:hAnsi="Times New Roman" w:eastAsia="宋体" w:cs="Times New Roman"/>
          <w:color w:val="auto"/>
          <w:kern w:val="0"/>
          <w:sz w:val="31"/>
          <w:szCs w:val="31"/>
          <w:highlight w:val="none"/>
          <w:lang w:val="en-US" w:eastAsia="zh-CN" w:bidi="ar"/>
        </w:rPr>
        <w:t xml:space="preserve">37 </w:t>
      </w:r>
      <w:r>
        <w:rPr>
          <w:rFonts w:hint="default" w:ascii="Times New Roman" w:hAnsi="Times New Roman" w:eastAsia="仿宋_GB2312" w:cs="Times New Roman"/>
          <w:color w:val="auto"/>
          <w:kern w:val="0"/>
          <w:sz w:val="31"/>
          <w:szCs w:val="31"/>
          <w:highlight w:val="none"/>
          <w:lang w:val="en-US" w:eastAsia="zh-CN" w:bidi="ar"/>
        </w:rPr>
        <w:t xml:space="preserve">份，进行消防安全设备检修、更换 </w:t>
      </w:r>
      <w:r>
        <w:rPr>
          <w:rFonts w:hint="default" w:ascii="Times New Roman" w:hAnsi="Times New Roman" w:eastAsia="宋体" w:cs="Times New Roman"/>
          <w:color w:val="auto"/>
          <w:kern w:val="0"/>
          <w:sz w:val="31"/>
          <w:szCs w:val="31"/>
          <w:highlight w:val="none"/>
          <w:lang w:val="en-US" w:eastAsia="zh-CN" w:bidi="ar"/>
        </w:rPr>
        <w:t xml:space="preserve">5 </w:t>
      </w:r>
      <w:r>
        <w:rPr>
          <w:rFonts w:hint="default" w:ascii="Times New Roman" w:hAnsi="Times New Roman" w:eastAsia="仿宋_GB2312" w:cs="Times New Roman"/>
          <w:color w:val="auto"/>
          <w:kern w:val="0"/>
          <w:sz w:val="31"/>
          <w:szCs w:val="31"/>
          <w:highlight w:val="none"/>
          <w:lang w:val="en-US" w:eastAsia="zh-CN" w:bidi="ar"/>
        </w:rPr>
        <w:t xml:space="preserve">次，利用文件、通知、微信等多途径进行安全生产宣传培训、警示教育、安全提醒预警预报安全警示等共计 </w:t>
      </w:r>
      <w:r>
        <w:rPr>
          <w:rFonts w:hint="default" w:ascii="Times New Roman" w:hAnsi="Times New Roman" w:eastAsia="宋体" w:cs="Times New Roman"/>
          <w:color w:val="auto"/>
          <w:kern w:val="0"/>
          <w:sz w:val="31"/>
          <w:szCs w:val="31"/>
          <w:highlight w:val="none"/>
          <w:lang w:val="en-US" w:eastAsia="zh-CN" w:bidi="ar"/>
        </w:rPr>
        <w:t xml:space="preserve">348 </w:t>
      </w:r>
      <w:r>
        <w:rPr>
          <w:rFonts w:hint="default" w:ascii="Times New Roman" w:hAnsi="Times New Roman" w:eastAsia="仿宋_GB2312" w:cs="Times New Roman"/>
          <w:color w:val="auto"/>
          <w:kern w:val="0"/>
          <w:sz w:val="31"/>
          <w:szCs w:val="31"/>
          <w:highlight w:val="none"/>
          <w:lang w:val="en-US" w:eastAsia="zh-CN" w:bidi="ar"/>
        </w:rPr>
        <w:t>条，有效提高了员工安全意识。同时</w:t>
      </w:r>
      <w:r>
        <w:rPr>
          <w:rFonts w:hint="eastAsia"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kern w:val="0"/>
          <w:sz w:val="31"/>
          <w:szCs w:val="31"/>
          <w:highlight w:val="none"/>
          <w:lang w:val="en-US" w:eastAsia="zh-CN" w:bidi="ar"/>
        </w:rPr>
        <w:t>聚焦安全生产大排查中发现的突出隐患持续整治，全方位压实安全生产主体责任，坚决防范遏制安全生产事故，全年无安全生产事故发生。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auto"/>
        <w:rPr>
          <w:rFonts w:ascii="Times New Roman" w:hAnsi="Times New Roman" w:eastAsia="仿宋_GB2312" w:cs="Times New Roman"/>
          <w:color w:val="auto"/>
          <w:kern w:val="0"/>
          <w:sz w:val="31"/>
          <w:szCs w:val="31"/>
          <w:highlight w:val="none"/>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lang w:val="en-US" w:eastAsia="zh-CN"/>
        </w:rPr>
        <w:t>责任主题</w:t>
      </w:r>
      <w:r>
        <w:rPr>
          <w:rFonts w:hint="default" w:ascii="Times New Roman" w:hAnsi="Times New Roman" w:eastAsia="黑体" w:cs="Times New Roman"/>
          <w:color w:val="auto"/>
          <w:sz w:val="32"/>
          <w:szCs w:val="32"/>
          <w:highlight w:val="none"/>
          <w:lang w:val="en-US" w:eastAsia="zh-CN"/>
        </w:rPr>
        <w:t>----价值创造 服务国家战略</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国富投资集团以国家及我省“十四五”发展战略为导向，坚持质量第一、效益优先、聚焦主责主业，重点突出主营业务优化，积极探索服务实体经济新模式，着力开展业务模式创新，深入推进乡村振兴战略，打造集团公司业务新增长点，体现国企担当，践行国企社会责任。</w:t>
      </w:r>
    </w:p>
    <w:p>
      <w:pPr>
        <w:keepNext w:val="0"/>
        <w:keepLines w:val="0"/>
        <w:pageBreakBefore w:val="0"/>
        <w:kinsoku/>
        <w:wordWrap/>
        <w:overflowPunct/>
        <w:topLinePunct w:val="0"/>
        <w:autoSpaceDE/>
        <w:autoSpaceDN/>
        <w:bidi w:val="0"/>
        <w:spacing w:line="560" w:lineRule="exact"/>
        <w:rPr>
          <w:rFonts w:hint="default" w:ascii="Times New Roman" w:hAnsi="Times New Roman" w:eastAsia="楷体_GB2312"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经营成果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0" w:name="_Hlk126861976"/>
      <w:r>
        <w:rPr>
          <w:rFonts w:hint="default" w:ascii="Times New Roman" w:hAnsi="Times New Roman" w:eastAsia="仿宋_GB2312" w:cs="Times New Roman"/>
          <w:color w:val="auto"/>
          <w:sz w:val="32"/>
          <w:szCs w:val="32"/>
          <w:highlight w:val="none"/>
          <w:lang w:val="en-US" w:eastAsia="zh-CN"/>
        </w:rPr>
        <w:t>截至2023年底，集团</w:t>
      </w:r>
      <w:r>
        <w:rPr>
          <w:rFonts w:hint="eastAsia" w:ascii="Times New Roman" w:hAnsi="Times New Roman" w:eastAsia="仿宋_GB2312" w:cs="Times New Roman"/>
          <w:color w:val="auto"/>
          <w:sz w:val="32"/>
          <w:szCs w:val="32"/>
          <w:highlight w:val="none"/>
          <w:lang w:val="en-US" w:eastAsia="zh-CN"/>
        </w:rPr>
        <w:t>公司</w:t>
      </w:r>
      <w:r>
        <w:rPr>
          <w:rFonts w:hint="default" w:ascii="Times New Roman" w:hAnsi="Times New Roman" w:eastAsia="仿宋_GB2312" w:cs="Times New Roman"/>
          <w:color w:val="auto"/>
          <w:sz w:val="32"/>
          <w:szCs w:val="32"/>
          <w:highlight w:val="none"/>
          <w:lang w:val="en-US" w:eastAsia="zh-CN"/>
        </w:rPr>
        <w:t>资产总额30.32亿元，负债总额8.19亿元（其中带息负债1.2亿元），净资产22.13亿元。较之年初，资产、负债、净资产均小幅增长。其中，资产增加0.78亿元，增幅2.66%；负债增加0.26亿元，增幅3.21%；净资产增加0.53亿元，增幅2.45%。年末资产负债率27.01%，与年初基本持平，财务状况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，因受资本市场波动、行业政策及周期等因素影响，企业上市及投资业务持续承压，期货、房地产业务板块收入下降。同时，集团公司严控贸易风险，主动缩减了农业贸易规模。</w:t>
      </w: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，集团公司</w:t>
      </w:r>
      <w:r>
        <w:rPr>
          <w:rFonts w:hint="default" w:ascii="Times New Roman" w:hAnsi="Times New Roman" w:eastAsia="仿宋_GB2312" w:cs="Times New Roman"/>
          <w:color w:val="auto"/>
          <w:sz w:val="32"/>
          <w:szCs w:val="32"/>
          <w:highlight w:val="none"/>
          <w:lang w:val="en-US" w:eastAsia="zh-CN"/>
        </w:rPr>
        <w:t>全年实现营业收入5.60亿元，</w:t>
      </w:r>
      <w:r>
        <w:rPr>
          <w:rFonts w:hint="eastAsia" w:ascii="Times New Roman" w:hAnsi="Times New Roman" w:eastAsia="仿宋_GB2312" w:cs="Times New Roman"/>
          <w:color w:val="auto"/>
          <w:sz w:val="32"/>
          <w:szCs w:val="32"/>
          <w:highlight w:val="none"/>
          <w:lang w:val="en-US" w:eastAsia="zh-CN"/>
        </w:rPr>
        <w:t>同比下降45%；全年实现</w:t>
      </w:r>
      <w:r>
        <w:rPr>
          <w:rFonts w:hint="default" w:ascii="Times New Roman" w:hAnsi="Times New Roman" w:eastAsia="仿宋_GB2312" w:cs="Times New Roman"/>
          <w:color w:val="auto"/>
          <w:sz w:val="32"/>
          <w:szCs w:val="32"/>
          <w:highlight w:val="none"/>
          <w:lang w:val="en-US" w:eastAsia="zh-CN"/>
        </w:rPr>
        <w:t>利润总额0.86亿元，同比</w:t>
      </w:r>
      <w:r>
        <w:rPr>
          <w:rFonts w:hint="eastAsia" w:ascii="Times New Roman" w:hAnsi="Times New Roman" w:eastAsia="仿宋_GB2312" w:cs="Times New Roman"/>
          <w:color w:val="auto"/>
          <w:sz w:val="32"/>
          <w:szCs w:val="32"/>
          <w:highlight w:val="none"/>
          <w:lang w:val="en-US" w:eastAsia="zh-CN"/>
        </w:rPr>
        <w:t>下降</w:t>
      </w:r>
      <w:r>
        <w:rPr>
          <w:rFonts w:hint="default" w:ascii="Times New Roman" w:hAnsi="Times New Roman" w:eastAsia="仿宋_GB2312" w:cs="Times New Roman"/>
          <w:color w:val="auto"/>
          <w:sz w:val="32"/>
          <w:szCs w:val="32"/>
          <w:highlight w:val="none"/>
          <w:lang w:val="en-US" w:eastAsia="zh-CN"/>
        </w:rPr>
        <w:t>37%。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，集团公司</w:t>
      </w:r>
      <w:r>
        <w:rPr>
          <w:rFonts w:hint="default" w:ascii="Times New Roman" w:hAnsi="Times New Roman" w:eastAsia="仿宋_GB2312" w:cs="Times New Roman"/>
          <w:color w:val="auto"/>
          <w:sz w:val="32"/>
          <w:szCs w:val="32"/>
          <w:highlight w:val="none"/>
          <w:lang w:val="en-US" w:eastAsia="zh-CN"/>
        </w:rPr>
        <w:t>国有资本保值增值率为103.54%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已交税费1862.29万元</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足额上缴国有资本收益 2309.58 万元</w:t>
      </w:r>
      <w:r>
        <w:rPr>
          <w:rFonts w:hint="eastAsia" w:ascii="Times New Roman" w:hAnsi="Times New Roman" w:eastAsia="仿宋_GB2312" w:cs="Times New Roman"/>
          <w:color w:val="auto"/>
          <w:sz w:val="32"/>
          <w:szCs w:val="32"/>
          <w:highlight w:val="none"/>
          <w:lang w:val="en-US" w:eastAsia="zh-CN"/>
        </w:rPr>
        <w:t>，较好完成了国有资产保值增值及利税工作任务。</w:t>
      </w:r>
    </w:p>
    <w:bookmarkEnd w:id="0"/>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做优主业  凸显高质量发展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国富投资集团聚焦上市投融资板块、期货业务板块、农业投融资板块和融资担保主责主业，推动各类资源要素向主责主业集中，强化投资布局和机构管理，积极融入新发展格局，推动实现可持续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所属香港公司持续</w:t>
      </w:r>
      <w:r>
        <w:rPr>
          <w:rFonts w:hint="default" w:ascii="Times New Roman" w:hAnsi="Times New Roman" w:eastAsia="仿宋_GB2312" w:cs="Times New Roman"/>
          <w:color w:val="auto"/>
          <w:sz w:val="32"/>
          <w:szCs w:val="32"/>
          <w:highlight w:val="none"/>
          <w:lang w:eastAsia="zh-CN"/>
        </w:rPr>
        <w:t>加大项目对接和市场推广力度，新签约拟上市企业</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家，</w:t>
      </w:r>
      <w:r>
        <w:rPr>
          <w:rFonts w:hint="default" w:ascii="Times New Roman" w:hAnsi="Times New Roman" w:eastAsia="仿宋_GB2312" w:cs="Times New Roman"/>
          <w:color w:val="auto"/>
          <w:sz w:val="32"/>
          <w:szCs w:val="32"/>
          <w:highlight w:val="none"/>
          <w:lang w:val="en-US" w:eastAsia="zh-CN"/>
        </w:rPr>
        <w:t>全力统筹保荐人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律所</w:t>
      </w:r>
      <w:r>
        <w:rPr>
          <w:rFonts w:hint="default" w:ascii="Times New Roman" w:hAnsi="Times New Roman" w:eastAsia="仿宋_GB2312" w:cs="Times New Roman"/>
          <w:color w:val="auto"/>
          <w:sz w:val="32"/>
          <w:szCs w:val="32"/>
          <w:highlight w:val="none"/>
          <w:lang w:eastAsia="zh-CN"/>
        </w:rPr>
        <w:t>等中介机构</w:t>
      </w:r>
      <w:r>
        <w:rPr>
          <w:rFonts w:hint="default" w:ascii="Times New Roman" w:hAnsi="Times New Roman" w:eastAsia="仿宋_GB2312" w:cs="Times New Roman"/>
          <w:color w:val="auto"/>
          <w:sz w:val="32"/>
          <w:szCs w:val="32"/>
          <w:highlight w:val="none"/>
          <w:lang w:val="en-US" w:eastAsia="zh-CN"/>
        </w:rPr>
        <w:t>资源</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加速推进</w:t>
      </w:r>
      <w:r>
        <w:rPr>
          <w:rFonts w:hint="default" w:ascii="Times New Roman" w:hAnsi="Times New Roman" w:eastAsia="仿宋_GB2312" w:cs="Times New Roman"/>
          <w:color w:val="auto"/>
          <w:sz w:val="32"/>
          <w:szCs w:val="32"/>
          <w:highlight w:val="none"/>
          <w:lang w:eastAsia="zh-CN"/>
        </w:rPr>
        <w:t>重点项目IPO</w:t>
      </w:r>
      <w:r>
        <w:rPr>
          <w:rFonts w:hint="default" w:ascii="Times New Roman" w:hAnsi="Times New Roman" w:eastAsia="仿宋_GB2312" w:cs="Times New Roman"/>
          <w:color w:val="auto"/>
          <w:sz w:val="32"/>
          <w:szCs w:val="32"/>
          <w:highlight w:val="none"/>
          <w:lang w:val="en-US" w:eastAsia="zh-CN"/>
        </w:rPr>
        <w:t>进程。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所属</w:t>
      </w:r>
      <w:r>
        <w:rPr>
          <w:rFonts w:hint="default" w:ascii="Times New Roman" w:hAnsi="Times New Roman" w:eastAsia="仿宋_GB2312" w:cs="Times New Roman"/>
          <w:color w:val="auto"/>
          <w:sz w:val="32"/>
          <w:szCs w:val="32"/>
          <w:highlight w:val="none"/>
          <w:lang w:eastAsia="zh-CN"/>
        </w:rPr>
        <w:t>基金管理公司持续打造“基金综合管理平台”，</w:t>
      </w:r>
      <w:r>
        <w:rPr>
          <w:rFonts w:hint="default" w:ascii="Times New Roman" w:hAnsi="Times New Roman" w:eastAsia="仿宋_GB2312" w:cs="Times New Roman"/>
          <w:color w:val="auto"/>
          <w:sz w:val="32"/>
          <w:szCs w:val="32"/>
          <w:highlight w:val="none"/>
          <w:lang w:val="en-US" w:eastAsia="zh-CN"/>
        </w:rPr>
        <w:t>有力</w:t>
      </w:r>
      <w:r>
        <w:rPr>
          <w:rFonts w:hint="default" w:ascii="Times New Roman" w:hAnsi="Times New Roman" w:eastAsia="仿宋_GB2312" w:cs="Times New Roman"/>
          <w:color w:val="auto"/>
          <w:sz w:val="32"/>
          <w:szCs w:val="32"/>
          <w:highlight w:val="none"/>
          <w:lang w:eastAsia="zh-CN"/>
        </w:rPr>
        <w:t>推进产业投资基金、乡村振兴基金等多支基金的设立和运作，全年新增管理规模1.55亿元，资产管理规模达41.1亿元。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所属恒信公司</w:t>
      </w:r>
      <w:r>
        <w:rPr>
          <w:rFonts w:hint="default" w:ascii="Times New Roman" w:hAnsi="Times New Roman" w:eastAsia="仿宋_GB2312" w:cs="Times New Roman"/>
          <w:color w:val="auto"/>
          <w:sz w:val="32"/>
          <w:szCs w:val="32"/>
          <w:highlight w:val="none"/>
          <w:lang w:eastAsia="zh-CN"/>
        </w:rPr>
        <w:t>重点推进东化</w:t>
      </w:r>
      <w:r>
        <w:rPr>
          <w:rFonts w:hint="default" w:ascii="Times New Roman" w:hAnsi="Times New Roman" w:eastAsia="仿宋_GB2312" w:cs="Times New Roman"/>
          <w:color w:val="auto"/>
          <w:sz w:val="32"/>
          <w:szCs w:val="32"/>
          <w:highlight w:val="none"/>
          <w:lang w:val="en-US" w:eastAsia="zh-CN"/>
        </w:rPr>
        <w:t>复合肥增资</w:t>
      </w:r>
      <w:r>
        <w:rPr>
          <w:rFonts w:hint="default" w:ascii="Times New Roman" w:hAnsi="Times New Roman" w:eastAsia="仿宋_GB2312" w:cs="Times New Roman"/>
          <w:color w:val="auto"/>
          <w:sz w:val="32"/>
          <w:szCs w:val="32"/>
          <w:highlight w:val="none"/>
          <w:lang w:eastAsia="zh-CN"/>
        </w:rPr>
        <w:t>等项</w:t>
      </w:r>
      <w:r>
        <w:rPr>
          <w:rFonts w:hint="default" w:ascii="Times New Roman" w:hAnsi="Times New Roman" w:eastAsia="仿宋_GB2312" w:cs="Times New Roman"/>
          <w:color w:val="auto"/>
          <w:sz w:val="32"/>
          <w:szCs w:val="32"/>
          <w:highlight w:val="none"/>
          <w:lang w:val="en-US" w:eastAsia="zh-CN"/>
        </w:rPr>
        <w:t>目，进一步强化与我省农业龙头企业东光化工产业协同合作，合资公司于2023年12月完成注册成立。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所属德宝公司推进一家已签约科技企业的新三板挂牌</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北交所IPO工作，同时积极筹备私募股权基金设立，努力拓宽集团公司境内企业上市融资渠道，打造新的利润增长点。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所属恒银期货公司在打造“期惠农”“期惠企”的“期货+”现货服务平台基础上，充分发挥期货市场服务现代实体经济职能，探索契合河北产业特点和恒银特色的风险管理服务模式，通过大宗商品价格指数，为供应链安全提供及时准确的信息参考。分支机构加速转型，数量和质量不断提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福建分公司保持稳定发展，山东分公司营运能力稳步攀升，新设武汉分公司顺利展业。经营模式向数字化转型发展</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多渠道拓展和优化线上业务平台，为企业和投资者提供全面、优质、准确、专业的期货交易咨询服务。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集团公司重点围绕服务现代农业发展、培育农业产业化龙头企业、助力乡村振兴，着重关注高标准农田、黄骅旱碱麦等项目，重新对现有资金、人力等进行调配部署，为高质量转型打下坚实基础。所属恒联公司建立并深化与新希望等涉农上市公司的业务合作关系，积极开拓新的业务增长点。所属恒实公推动沧州恒实公司股权转让挂牌成功。</w:t>
      </w:r>
    </w:p>
    <w:p>
      <w:pPr>
        <w:keepNext w:val="0"/>
        <w:keepLines w:val="0"/>
        <w:pageBreakBefore w:val="0"/>
        <w:widowControl/>
        <w:kinsoku/>
        <w:wordWrap/>
        <w:overflowPunct/>
        <w:topLinePunct w:val="0"/>
        <w:autoSpaceDE/>
        <w:autoSpaceDN/>
        <w:bidi w:val="0"/>
        <w:spacing w:line="240" w:lineRule="auto"/>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融资担保业务顺利纳入集团公司培育主业，出资1亿元设立</w:t>
      </w:r>
      <w:r>
        <w:rPr>
          <w:rFonts w:ascii="Times New Roman" w:hAnsi="Times New Roman" w:eastAsia="仿宋_GB2312" w:cs="Times New Roman"/>
          <w:color w:val="auto"/>
          <w:kern w:val="0"/>
          <w:sz w:val="31"/>
          <w:szCs w:val="31"/>
          <w:highlight w:val="none"/>
          <w:lang w:val="en-US" w:eastAsia="zh-CN" w:bidi="ar"/>
        </w:rPr>
        <w:t>河北省国富融资担保有限公司</w:t>
      </w:r>
      <w:r>
        <w:rPr>
          <w:rFonts w:hint="default" w:ascii="Times New Roman" w:hAnsi="Times New Roman" w:eastAsia="仿宋_GB2312" w:cs="Times New Roman"/>
          <w:color w:val="auto"/>
          <w:kern w:val="0"/>
          <w:sz w:val="31"/>
          <w:szCs w:val="31"/>
          <w:highlight w:val="none"/>
          <w:lang w:val="en-US" w:eastAsia="zh-CN" w:bidi="ar"/>
        </w:rPr>
        <w:t>，</w:t>
      </w:r>
      <w:r>
        <w:rPr>
          <w:rFonts w:hint="default" w:ascii="Times New Roman" w:hAnsi="Times New Roman" w:eastAsia="仿宋_GB2312" w:cs="Times New Roman"/>
          <w:color w:val="auto"/>
          <w:sz w:val="32"/>
          <w:szCs w:val="32"/>
          <w:highlight w:val="none"/>
          <w:lang w:val="en-US" w:eastAsia="zh-CN"/>
        </w:rPr>
        <w:t>取得融资担保业务许可证，入围政府融资担保机构名单，与省融资担保基金已达成“总对总”业务合作意向。</w:t>
      </w:r>
    </w:p>
    <w:p>
      <w:pPr>
        <w:keepNext w:val="0"/>
        <w:keepLines w:val="0"/>
        <w:pageBreakBefore w:val="0"/>
        <w:widowControl/>
        <w:suppressLineNumbers w:val="0"/>
        <w:kinsoku/>
        <w:wordWrap/>
        <w:overflowPunct/>
        <w:topLinePunct w:val="0"/>
        <w:autoSpaceDE/>
        <w:autoSpaceDN/>
        <w:bidi w:val="0"/>
        <w:spacing w:line="560" w:lineRule="exact"/>
        <w:jc w:val="both"/>
        <w:rPr>
          <w:rFonts w:hint="default" w:ascii="Times New Roman" w:hAnsi="Times New Roman" w:eastAsia="楷体_GB2312" w:cs="Times New Roman"/>
          <w:color w:val="auto"/>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spacing w:line="560" w:lineRule="exact"/>
        <w:jc w:val="both"/>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服务实体  用心浇灌企业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构建“金融强国”，服务实体经济，是金融行业的初心使命。2023年，国富投资集团依托下属国富基金管理公司和恒银期货公司，紧密结合我省经济发展需要，打造多</w:t>
      </w:r>
      <w:r>
        <w:rPr>
          <w:rFonts w:hint="eastAsia" w:ascii="Times New Roman" w:hAnsi="Times New Roman" w:eastAsia="仿宋_GB2312" w:cs="Times New Roman"/>
          <w:color w:val="auto"/>
          <w:kern w:val="2"/>
          <w:sz w:val="32"/>
          <w:szCs w:val="32"/>
          <w:highlight w:val="none"/>
          <w:lang w:val="en-US" w:eastAsia="zh-CN" w:bidi="ar"/>
        </w:rPr>
        <w:t>元化</w:t>
      </w:r>
      <w:r>
        <w:rPr>
          <w:rFonts w:hint="default" w:ascii="Times New Roman" w:hAnsi="Times New Roman" w:eastAsia="仿宋_GB2312" w:cs="Times New Roman"/>
          <w:color w:val="auto"/>
          <w:kern w:val="2"/>
          <w:sz w:val="32"/>
          <w:szCs w:val="32"/>
          <w:highlight w:val="none"/>
          <w:lang w:val="en-US" w:eastAsia="zh-CN" w:bidi="ar"/>
        </w:rPr>
        <w:t>地方政府基金管理平台，发挥基金对产业发展的推动功效，促进区域经济和产业转型升级；综合运用期货经纪业务、投资咨询、风险管理等服务手段，壮大期货服务实体经济职能，服务我省经济和产业健康发展。</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所属基金管理公司2023年资产管理规模达41.1亿元，在投项目金额约12.5亿元，其中全年新增投资2.34亿元，主要投资于高新技术、专精特新、新三板上市的医药制造企业。</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所属恒银期货公司2023年始终将“深耕河北产业、服务河北经济”做为发挥期货市场经济职能的重要抓手，以筹建河北大宗商品商会为契机，与东光化工、正大玻璃、馆陶鸡蛋交割库、唐山三友集团共同打造合作平台。恒银期货公司保持与产业一线的紧密联系，持续开展产业调研合业务研讨，报告期内共开展10余次调研活动。依托交易所活动体系主办、联合企业主办研讨培训会议5次，线下面对面夯实合作基础。</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恒银期货公司注重品牌打造，2023年着力打造了“期惠企”产业服务品牌、“期惠农”乡村振兴品牌，形成具有一定恒银特色的研发服务体系，践行持牌金融机构社会责任，助力乡村振兴，服务河北实体经济发展。报告期内开展期惠企助企活动、开启期惠企调研之旅、举办“期惠企”助力企业培训会共3次。</w:t>
      </w:r>
    </w:p>
    <w:p>
      <w:pPr>
        <w:keepNext w:val="0"/>
        <w:keepLines w:val="0"/>
        <w:pageBreakBefore w:val="0"/>
        <w:kinsoku/>
        <w:wordWrap/>
        <w:overflowPunct/>
        <w:topLinePunct w:val="0"/>
        <w:autoSpaceDE/>
        <w:autoSpaceDN/>
        <w:bidi w:val="0"/>
        <w:spacing w:line="560" w:lineRule="exact"/>
        <w:jc w:val="left"/>
        <w:rPr>
          <w:rFonts w:hint="default" w:ascii="Times New Roman" w:hAnsi="Times New Roman" w:eastAsia="楷体_GB2312"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科技创新  布局新赛道新领域  </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2023年，国富投资集团大力实施创新驱动发展战略，强力推进研发投入“三年上、五年强”专项行动，全力激发创新创造活力，为集团公司高质量发展打造新引擎、培育新动能。</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集团公司为贯彻落实国资委关于财务共享中心建设要求，充分发挥大数据的作用，2023 年着力打造财务信息共享平台，实现财务信息一体化，持续提升财务风险管控水平。将财务共享建设作为一把手工程，在原资金管理中心基础上成立了集团财务共享中心。经过充分调研论证，集团公司将财务核算软件升级为具有财务共享功能、更有延展性的 NC Cloud 平台，在原有的总账、资金和报表模块的基础上，增购了往来管理和投融资管理模块，完善了分析云平台，完成了与省国资委资金在线监管平台对接，财务管理深度、经营管理效能持续提升。</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lang w:val="en-US" w:eastAsia="zh-CN"/>
        </w:rPr>
        <w:t>随着大数据、WIFI6、5G、云中心等新型信息技术的发展，金融行业也在从金融数字化向数字化金融转型，</w:t>
      </w:r>
      <w:r>
        <w:rPr>
          <w:rFonts w:hint="default" w:ascii="Times New Roman" w:hAnsi="Times New Roman" w:eastAsia="仿宋_GB2312" w:cs="Times New Roman"/>
          <w:color w:val="auto"/>
          <w:kern w:val="2"/>
          <w:sz w:val="32"/>
          <w:szCs w:val="32"/>
          <w:highlight w:val="none"/>
          <w:lang w:val="en-US" w:eastAsia="zh-CN" w:bidi="ar"/>
        </w:rPr>
        <w:t>国富投资集团所属恒银期货公司顺应期货市场发展趋势，加大科技投入和互联网业务平台建设，期货经纪业务模式创新和数字化转型成果逐步显现。2023年</w:t>
      </w:r>
      <w:r>
        <w:rPr>
          <w:rFonts w:hint="eastAsia" w:ascii="Times New Roman" w:hAnsi="Times New Roman" w:eastAsia="仿宋_GB2312" w:cs="Times New Roman"/>
          <w:color w:val="auto"/>
          <w:kern w:val="2"/>
          <w:sz w:val="32"/>
          <w:szCs w:val="32"/>
          <w:highlight w:val="none"/>
          <w:lang w:val="en-US" w:eastAsia="zh-CN" w:bidi="ar"/>
        </w:rPr>
        <w:t>，恒银期货公司</w:t>
      </w:r>
      <w:r>
        <w:rPr>
          <w:rFonts w:hint="eastAsia" w:ascii="仿宋_GB2312" w:hAnsi="仿宋_GB2312" w:eastAsia="仿宋_GB2312" w:cs="仿宋_GB2312"/>
          <w:sz w:val="32"/>
          <w:szCs w:val="32"/>
          <w:lang w:val="en-US" w:eastAsia="zh-CN"/>
        </w:rPr>
        <w:t>持续在信息技术上进行大量投入，依托并建设了凯道电子虚拟化建设方案和北塔公司运维监控系统；</w:t>
      </w:r>
      <w:r>
        <w:rPr>
          <w:rFonts w:hint="default" w:ascii="Times New Roman" w:hAnsi="Times New Roman" w:eastAsia="仿宋_GB2312" w:cs="Times New Roman"/>
          <w:color w:val="auto"/>
          <w:kern w:val="2"/>
          <w:sz w:val="32"/>
          <w:szCs w:val="32"/>
          <w:highlight w:val="none"/>
          <w:lang w:val="en-US" w:eastAsia="zh-CN" w:bidi="ar"/>
        </w:rPr>
        <w:t>通过打造数字化赋能智能投研平台，逐步形成以基本面分析为趋势依据，结合技术分析捕捉交易策略机会的研究方式</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依托文华8智能量化平台搭建数字化策略交易系统，对数据形成智能化可视图表，</w:t>
      </w:r>
      <w:r>
        <w:rPr>
          <w:rFonts w:hint="default" w:ascii="Times New Roman" w:hAnsi="Times New Roman" w:eastAsia="仿宋_GB2312" w:cs="Times New Roman"/>
          <w:color w:val="auto"/>
          <w:sz w:val="32"/>
          <w:szCs w:val="32"/>
          <w:highlight w:val="none"/>
          <w:lang w:val="en-US" w:eastAsia="zh-CN"/>
        </w:rPr>
        <w:t>目前共完成22个品种6各维度共计1600余项基础数据指标的采集整理</w:t>
      </w:r>
      <w:r>
        <w:rPr>
          <w:rFonts w:hint="default" w:ascii="Times New Roman" w:hAnsi="Times New Roman" w:eastAsia="仿宋_GB2312" w:cs="Times New Roman"/>
          <w:color w:val="auto"/>
          <w:kern w:val="2"/>
          <w:sz w:val="32"/>
          <w:szCs w:val="32"/>
          <w:highlight w:val="none"/>
          <w:lang w:val="en-US" w:eastAsia="zh-CN" w:bidi="ar"/>
        </w:rPr>
        <w:t>；依托iFind数据平台，以金融科技为手段、数字赋能为目标，不断推进基础数据赋能工作，</w:t>
      </w:r>
      <w:r>
        <w:rPr>
          <w:rFonts w:hint="default" w:ascii="Times New Roman" w:hAnsi="Times New Roman" w:eastAsia="仿宋_GB2312" w:cs="Times New Roman"/>
          <w:color w:val="auto"/>
          <w:sz w:val="32"/>
          <w:szCs w:val="32"/>
          <w:highlight w:val="none"/>
          <w:lang w:val="en-US" w:eastAsia="zh-CN"/>
        </w:rPr>
        <w:t>包括基本面数据统计10项、行情数据及相关分析17项</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践行责任  助力乡村振兴 </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2023年是从脱贫攻坚转向全面实施乡村振兴五年过渡期的第三年。国富投资集团</w:t>
      </w:r>
      <w:r>
        <w:rPr>
          <w:rFonts w:hint="default" w:ascii="Times New Roman" w:hAnsi="Times New Roman" w:eastAsia="仿宋_GB2312" w:cs="Times New Roman"/>
          <w:bCs/>
          <w:color w:val="auto"/>
          <w:sz w:val="32"/>
          <w:szCs w:val="32"/>
          <w:highlight w:val="none"/>
          <w:lang w:val="en-US" w:eastAsia="zh-CN"/>
        </w:rPr>
        <w:t>认真</w:t>
      </w:r>
      <w:r>
        <w:rPr>
          <w:rFonts w:hint="default" w:ascii="Times New Roman" w:hAnsi="Times New Roman" w:eastAsia="仿宋_GB2312" w:cs="Times New Roman"/>
          <w:color w:val="auto"/>
          <w:sz w:val="32"/>
          <w:szCs w:val="32"/>
          <w:highlight w:val="none"/>
        </w:rPr>
        <w:t>贯彻落实省、市、县的安排部署，</w:t>
      </w:r>
      <w:r>
        <w:rPr>
          <w:rFonts w:hint="default" w:ascii="Times New Roman" w:hAnsi="Times New Roman" w:eastAsia="仿宋_GB2312" w:cs="Times New Roman"/>
          <w:color w:val="auto"/>
          <w:kern w:val="2"/>
          <w:sz w:val="32"/>
          <w:szCs w:val="32"/>
          <w:highlight w:val="none"/>
          <w:lang w:val="en-US" w:eastAsia="zh-CN" w:bidi="ar-SA"/>
        </w:rPr>
        <w:t xml:space="preserve">按照中央“四个不摘”的要求，确保乡村振兴工作有责任担当、有思路计划、有人员保障、有资金投入、有正向反馈。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驻村帮扶----</w:t>
      </w:r>
      <w:r>
        <w:rPr>
          <w:rFonts w:hint="default" w:ascii="Times New Roman" w:hAnsi="Times New Roman" w:eastAsia="仿宋_GB2312" w:cs="Times New Roman"/>
          <w:color w:val="auto"/>
          <w:sz w:val="32"/>
          <w:szCs w:val="32"/>
          <w:highlight w:val="none"/>
          <w:lang w:val="en-US" w:eastAsia="zh-CN"/>
        </w:rPr>
        <w:t>按照国家</w:t>
      </w:r>
      <w:r>
        <w:rPr>
          <w:rFonts w:hint="default" w:ascii="Times New Roman" w:hAnsi="Times New Roman" w:eastAsia="仿宋_GB2312" w:cs="Times New Roman"/>
          <w:color w:val="auto"/>
          <w:sz w:val="32"/>
          <w:szCs w:val="32"/>
          <w:highlight w:val="none"/>
        </w:rPr>
        <w:t>巩固拓展脱贫攻坚成果</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工作</w:t>
      </w:r>
      <w:r>
        <w:rPr>
          <w:rFonts w:hint="default" w:ascii="Times New Roman" w:hAnsi="Times New Roman" w:eastAsia="仿宋_GB2312" w:cs="Times New Roman"/>
          <w:color w:val="auto"/>
          <w:sz w:val="32"/>
          <w:szCs w:val="32"/>
          <w:highlight w:val="none"/>
          <w:lang w:val="en-US" w:eastAsia="zh-CN"/>
        </w:rPr>
        <w:t>要求，设立集团定点帮扶唐县驻村工作队，</w:t>
      </w:r>
      <w:r>
        <w:rPr>
          <w:rFonts w:hint="eastAsia" w:ascii="Times New Roman" w:hAnsi="Times New Roman" w:eastAsia="仿宋_GB2312" w:cs="Times New Roman"/>
          <w:color w:val="auto"/>
          <w:sz w:val="32"/>
          <w:szCs w:val="32"/>
          <w:highlight w:val="none"/>
          <w:lang w:val="en-US" w:eastAsia="zh-CN"/>
        </w:rPr>
        <w:t>2023年选派4</w:t>
      </w:r>
      <w:r>
        <w:rPr>
          <w:rFonts w:hint="default" w:ascii="Times New Roman" w:hAnsi="Times New Roman" w:eastAsia="仿宋_GB2312" w:cs="Times New Roman"/>
          <w:color w:val="auto"/>
          <w:sz w:val="32"/>
          <w:szCs w:val="32"/>
          <w:highlight w:val="none"/>
          <w:lang w:val="en-US" w:eastAsia="zh-CN"/>
        </w:rPr>
        <w:t>名</w:t>
      </w:r>
      <w:r>
        <w:rPr>
          <w:rFonts w:hint="eastAsia" w:ascii="Times New Roman" w:hAnsi="Times New Roman" w:eastAsia="仿宋_GB2312" w:cs="Times New Roman"/>
          <w:color w:val="auto"/>
          <w:sz w:val="32"/>
          <w:szCs w:val="32"/>
          <w:highlight w:val="none"/>
          <w:lang w:val="en-US" w:eastAsia="zh-CN"/>
        </w:rPr>
        <w:t>干部驻村帮扶</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报告期内</w:t>
      </w:r>
      <w:r>
        <w:rPr>
          <w:rFonts w:hint="default" w:ascii="Times New Roman" w:hAnsi="Times New Roman" w:eastAsia="仿宋_GB2312" w:cs="Times New Roman"/>
          <w:color w:val="auto"/>
          <w:sz w:val="32"/>
          <w:szCs w:val="32"/>
          <w:highlight w:val="none"/>
          <w:lang w:val="en-US" w:eastAsia="zh-CN"/>
        </w:rPr>
        <w:t>，唐县全村“两不愁三保障”“安全饮水”全部实现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全村防贫监测对象漏纳率为零，防贫监测对象风险消除准确率实现100%。帮扶情况特殊13人安排就业局公益岗位，解决就业问题。积极推动</w:t>
      </w:r>
      <w:r>
        <w:rPr>
          <w:rFonts w:hint="default" w:ascii="Times New Roman" w:hAnsi="Times New Roman" w:eastAsia="仿宋_GB2312" w:cs="Times New Roman"/>
          <w:color w:val="auto"/>
          <w:kern w:val="2"/>
          <w:sz w:val="32"/>
          <w:szCs w:val="32"/>
          <w:highlight w:val="none"/>
          <w:lang w:val="en-US" w:eastAsia="zh-CN" w:bidi="ar-SA"/>
        </w:rPr>
        <w:t>北店头镇开展“星级创评”活动，宣传学习典型，形成“赶、帮、超”氛围，得到当地政府部门的高度评价。</w:t>
      </w:r>
      <w:r>
        <w:rPr>
          <w:rFonts w:hint="default" w:ascii="Times New Roman" w:hAnsi="Times New Roman" w:eastAsia="仿宋_GB2312" w:cs="Times New Roman"/>
          <w:color w:val="auto"/>
          <w:sz w:val="32"/>
          <w:szCs w:val="32"/>
          <w:highlight w:val="none"/>
          <w:lang w:val="en-US" w:eastAsia="zh-CN"/>
        </w:rPr>
        <w:t>驻村工作队协同村党支部开展党建工作，推动村“两委”建强基层党组织，提升村级治理水平。</w:t>
      </w:r>
    </w:p>
    <w:p>
      <w:pPr>
        <w:keepNext w:val="0"/>
        <w:keepLines w:val="0"/>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产业帮扶----</w:t>
      </w:r>
      <w:r>
        <w:rPr>
          <w:rFonts w:hint="default" w:ascii="Times New Roman" w:hAnsi="Times New Roman" w:eastAsia="仿宋_GB2312" w:cs="Times New Roman"/>
          <w:b w:val="0"/>
          <w:bCs w:val="0"/>
          <w:color w:val="auto"/>
          <w:kern w:val="2"/>
          <w:sz w:val="32"/>
          <w:szCs w:val="32"/>
          <w:highlight w:val="none"/>
          <w:lang w:val="en-US" w:eastAsia="zh-CN" w:bidi="ar-SA"/>
        </w:rPr>
        <w:t>产业振兴是乡村振兴的物质基础，集团公司始终把发展产业作为乡村振兴的重中之重，针对集团公司定点帮扶村唐县</w:t>
      </w:r>
      <w:r>
        <w:rPr>
          <w:rFonts w:hint="eastAsia" w:ascii="Times New Roman" w:hAnsi="Times New Roman" w:eastAsia="仿宋_GB2312" w:cs="Times New Roman"/>
          <w:b w:val="0"/>
          <w:bCs w:val="0"/>
          <w:color w:val="auto"/>
          <w:kern w:val="2"/>
          <w:sz w:val="32"/>
          <w:szCs w:val="32"/>
          <w:highlight w:val="none"/>
          <w:lang w:val="en-US" w:eastAsia="zh-CN" w:bidi="ar-SA"/>
        </w:rPr>
        <w:t>西同龙村</w:t>
      </w:r>
      <w:r>
        <w:rPr>
          <w:rFonts w:hint="default" w:ascii="Times New Roman" w:hAnsi="Times New Roman" w:eastAsia="仿宋_GB2312" w:cs="Times New Roman"/>
          <w:b w:val="0"/>
          <w:bCs w:val="0"/>
          <w:color w:val="auto"/>
          <w:kern w:val="2"/>
          <w:sz w:val="32"/>
          <w:szCs w:val="32"/>
          <w:highlight w:val="none"/>
          <w:lang w:val="en-US" w:eastAsia="zh-CN" w:bidi="ar-SA"/>
        </w:rPr>
        <w:t>和集团所属恒银期货公司</w:t>
      </w:r>
      <w:r>
        <w:rPr>
          <w:rFonts w:hint="eastAsia" w:ascii="Times New Roman" w:hAnsi="Times New Roman" w:eastAsia="仿宋_GB2312" w:cs="Times New Roman"/>
          <w:b w:val="0"/>
          <w:bCs w:val="0"/>
          <w:color w:val="auto"/>
          <w:kern w:val="2"/>
          <w:sz w:val="32"/>
          <w:szCs w:val="32"/>
          <w:highlight w:val="none"/>
          <w:lang w:val="en-US" w:eastAsia="zh-CN" w:bidi="ar-SA"/>
        </w:rPr>
        <w:t>对井陉县</w:t>
      </w:r>
      <w:r>
        <w:rPr>
          <w:rFonts w:hint="default" w:ascii="Times New Roman" w:hAnsi="Times New Roman" w:eastAsia="仿宋_GB2312" w:cs="Times New Roman"/>
          <w:b w:val="0"/>
          <w:bCs w:val="0"/>
          <w:color w:val="auto"/>
          <w:kern w:val="2"/>
          <w:sz w:val="32"/>
          <w:szCs w:val="32"/>
          <w:highlight w:val="none"/>
          <w:lang w:val="en-US" w:eastAsia="zh-CN" w:bidi="ar-SA"/>
        </w:rPr>
        <w:t>洛阳村帮扶实际，</w:t>
      </w:r>
      <w:r>
        <w:rPr>
          <w:rFonts w:hint="eastAsia" w:ascii="Times New Roman" w:hAnsi="Times New Roman" w:eastAsia="仿宋_GB2312" w:cs="Times New Roman"/>
          <w:b w:val="0"/>
          <w:bCs w:val="0"/>
          <w:color w:val="auto"/>
          <w:kern w:val="2"/>
          <w:sz w:val="32"/>
          <w:szCs w:val="32"/>
          <w:highlight w:val="none"/>
          <w:lang w:val="en-US" w:eastAsia="zh-CN" w:bidi="ar-SA"/>
        </w:rPr>
        <w:t>参与</w:t>
      </w:r>
      <w:r>
        <w:rPr>
          <w:rFonts w:hint="default" w:ascii="Times New Roman" w:hAnsi="Times New Roman" w:eastAsia="仿宋_GB2312" w:cs="Times New Roman"/>
          <w:b w:val="0"/>
          <w:bCs w:val="0"/>
          <w:color w:val="auto"/>
          <w:kern w:val="2"/>
          <w:sz w:val="32"/>
          <w:szCs w:val="32"/>
          <w:highlight w:val="none"/>
          <w:lang w:val="en-US" w:eastAsia="zh-CN" w:bidi="ar-SA"/>
        </w:rPr>
        <w:t>完成了</w:t>
      </w:r>
      <w:r>
        <w:rPr>
          <w:rFonts w:hint="default" w:ascii="Times New Roman" w:hAnsi="Times New Roman" w:eastAsia="仿宋_GB2312" w:cs="Times New Roman"/>
          <w:color w:val="auto"/>
          <w:sz w:val="32"/>
          <w:szCs w:val="32"/>
          <w:highlight w:val="none"/>
          <w:lang w:val="en-US" w:eastAsia="zh-CN"/>
        </w:rPr>
        <w:t>唐县光伏等资金分配项目共计7.9万元，谋划实施了唐县西同龙村羊肚菌和</w:t>
      </w:r>
      <w:r>
        <w:rPr>
          <w:rFonts w:hint="eastAsia" w:ascii="Times New Roman" w:hAnsi="Times New Roman" w:eastAsia="仿宋_GB2312" w:cs="Times New Roman"/>
          <w:color w:val="auto"/>
          <w:sz w:val="32"/>
          <w:szCs w:val="32"/>
          <w:highlight w:val="none"/>
          <w:lang w:val="en-US" w:eastAsia="zh-CN"/>
        </w:rPr>
        <w:t>井陉</w:t>
      </w:r>
      <w:r>
        <w:rPr>
          <w:rFonts w:hint="default" w:ascii="Times New Roman" w:hAnsi="Times New Roman" w:eastAsia="仿宋_GB2312" w:cs="Times New Roman"/>
          <w:color w:val="auto"/>
          <w:sz w:val="32"/>
          <w:szCs w:val="32"/>
          <w:highlight w:val="none"/>
          <w:lang w:val="en-US" w:eastAsia="zh-CN"/>
        </w:rPr>
        <w:t>洛阳村苹果等</w:t>
      </w:r>
      <w:r>
        <w:rPr>
          <w:rFonts w:hint="eastAsia" w:ascii="Times New Roman" w:hAnsi="Times New Roman" w:eastAsia="仿宋_GB2312" w:cs="Times New Roman"/>
          <w:color w:val="auto"/>
          <w:sz w:val="32"/>
          <w:szCs w:val="32"/>
          <w:highlight w:val="none"/>
          <w:lang w:val="en-US" w:eastAsia="zh-CN"/>
        </w:rPr>
        <w:t>特色</w:t>
      </w:r>
      <w:r>
        <w:rPr>
          <w:rFonts w:hint="default" w:ascii="Times New Roman" w:hAnsi="Times New Roman" w:eastAsia="仿宋_GB2312" w:cs="Times New Roman"/>
          <w:color w:val="auto"/>
          <w:sz w:val="32"/>
          <w:szCs w:val="32"/>
          <w:highlight w:val="none"/>
          <w:lang w:val="en-US" w:eastAsia="zh-CN"/>
        </w:rPr>
        <w:t>产业帮扶项目，全部发挥了增收效益。</w:t>
      </w:r>
    </w:p>
    <w:p>
      <w:pPr>
        <w:keepNext w:val="0"/>
        <w:keepLines w:val="0"/>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特色产业帮扶案例一：因地制宜引产业、乡村振兴尽责任</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保定唐县的西同龙村是河北省国富农业投资集团有限公司的帮扶村，原有种植、养殖、林果、家庭手工业等基础产业。2021年初脱贫攻坚任务完成后，驻村工作队的主要任务转变为巩固拓展脱贫攻坚成果同乡村振兴有效衔接。乡村振兴、产业先行，帮扶工作重点转为发展乡村特色产业，壮大新型农村经济合作社，安排脱贫人口创业就业、稳步增收，推进强村富民。</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羊肚菌项目是国富投资集团驻村工作组为西同龙村引入的产业振兴项目。从21年9月开始，在了解到西同龙村有种植金针菇、香菇、杏鲍菇等食用菌的经验后，驻村第一书记吴志会同志带领驻村队员，结合村两委成员，多方位、多渠道谋求西同龙村产业发展，在基本明确定位后即和国富投资集团党委、北店头镇主要领导赴邢台市柏乡县羊肚菌种植基地调研，随后带领村两委干部和有种植经验的村民代表到该基地考察学习种植技术。经村党员代表大会通过，村两委干部带头、联合十余户村民共同投资建设羊肚菌大棚试验基地。工作组通过政协的渠道协调落实了与柏乡县羊肚菌种植基地，建立了保供优质菌种、全程技术支持、产品统购统销战略合作，使项目发展有了可靠保障。2022年4月份，羊肚菌首季种植喜获丰收，平均亩产800斤，每座大棚纯利润2万余元。</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该项目伊始就得到了唐县、北店头镇党政主要领导的高度重视和大力支持，将用于西同龙村羊肚菌项目扩大再生产的项目库资金由年初的135万元追加到200万元，新建拱形大棚32个、建筑面积18000㎡，该项目现已完成土地流转、规划设计和场地平整等工作。</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羊肚菌项目的成功，将成为西同龙村经济增长新亮点。为进一步夯实乡村振兴基础，打造“一村一品”产业振兴的发展模式，提供可靠保障，驻村工作队也将继续为该村振兴助力，在打基础、问技术、促销售、增收益上再下功夫。协助村扩大种植规模到100亩，新建羊肚菌大棚35000㎡，实现收益100万元；深化组织开展羊肚菌种植技术精细化培训，推进标准化生产，带动更多农户科学种植；科学引进育种技术，充分利用现有设施，开展羊肚菌繁种培育车间的尝试；力争将羊肚菌发展成当地“优势振兴项目”，打造成为“区域标杆特色农产品”。</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羊肚菌产业项目做大做强，以产业项目带动农户参与劳作的形式，让产业与农户形成紧密相连的产业发展共同体，进而激发农户致富的内生动力；既发展村集体经济项目、又提高了村集体经济收入。</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农村富、产业兴”，驻村工作队以国富投资集团为坚实后盾，决心发挥企业优势，实现国企担当，建立稳固支撑点，和北店头镇党委、西同龙村两委干部一道，站在新的起点上，立足在发展村集体经济项目上再展宏图，在乡村振兴的道路上再立新功。</w:t>
      </w:r>
    </w:p>
    <w:p>
      <w:pPr>
        <w:keepNext w:val="0"/>
        <w:keepLines w:val="0"/>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bCs/>
          <w:color w:val="auto"/>
          <w:kern w:val="2"/>
          <w:sz w:val="32"/>
          <w:szCs w:val="32"/>
          <w:highlight w:val="none"/>
          <w:lang w:val="en-US" w:eastAsia="zh-CN" w:bidi="ar"/>
        </w:rPr>
        <w:t>特色产业帮扶案例二：</w:t>
      </w:r>
      <w:r>
        <w:rPr>
          <w:rFonts w:hint="default" w:ascii="Times New Roman" w:hAnsi="Times New Roman" w:eastAsia="仿宋_GB2312" w:cs="Times New Roman"/>
          <w:b/>
          <w:bCs/>
          <w:color w:val="auto"/>
          <w:kern w:val="0"/>
          <w:sz w:val="32"/>
          <w:szCs w:val="32"/>
          <w:highlight w:val="none"/>
          <w:lang w:val="en-US" w:eastAsia="zh-CN" w:bidi="ar"/>
        </w:rPr>
        <w:t>红色领航，共绘乡村振兴新画卷</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国富投资集团所属恒银期货公司始终将乡村振兴工作作为落实及履行国企责任、回报社会的重要政治任务。确立了“党建品牌+乡村振兴+产业帮扶”的工作模式。在集团党委的引领下，在恒银公司党支部及行政领导班子决策下，切实增强了乡村振兴的政治责任和巩固脱贫攻坚成果的强大力量。</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恒银公司坚持党建促帮扶，实现乡村振兴和党建品牌创建良性互动。恒银公司党支部搭建党建品牌“红色领航 向阳而生”中的“向阳关爱”模块，充分利用自身期货行业优势，与帮扶地井陉县洛阳村基层党组织实现结对共建。通过深入调研和实地考察，发现洛阳村在苹果产业发展方面有着巨大的潜力和优势。公司派出懂苹果期货业务，更懂苹果现货市场的乡村振兴专员深入田间地头，共同探索乡村振兴的新路径。</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这个村坐落在井陉与平山交界处的绵蔓河畔，三面环山，有着苹果种植的深厚积淀，“洛阳苹果”一直以来是当地村民实现增收的“希望之果”，年年盼着丰收，年年盼着能卖个好价钱。可听村书记说：“以前村里苹果好，但销路窄，也没有品牌，主要依靠果贩子，他们到村里进行收购，把价格压得很低，这让果农除去成本，基本没什么赚头。”而今，在村两委的带领下，恒银公司参与其中，共同围绕全国乡村振兴的发展格局，以建设“小苹果 大产业”为目标，将期货文化植入，依托苹果期货标准化、品质化运营理念，充分发挥期货行业基差获利、变现的优势运作思维，整体改进当地苹果产业发展路径，为洛阳村的农业产业升级提供了有力支持。特别在指导村集体筹划并建设完成标准化第三方分选仓这一举措，提高了苹果的分级分选效率，更提升了苹果的品质和附加值，“洛阳苹果”成为了推动当地苹果产业的“振兴之果”。</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此外，恒银公司还协助洛阳村自主兴办新型农业产销主体，完成品牌注册和绿色食品认证申报工作。通过品牌建设和绿色食品认证，帮助解决产品储运、中转、定价、结算等问题。洛阳村的苹果产业逐渐形成了产出量价齐升的态势，取得了良好的经济效益和社会效益。</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正是通过党建引领，恒银公司积极参与乡村振兴工作，不仅带动了当地农业产业的发展，还锤炼了恒银党支部品牌，实现了企业“大练兵”的双赢。</w:t>
      </w:r>
    </w:p>
    <w:p>
      <w:pPr>
        <w:pStyle w:val="9"/>
        <w:keepNext w:val="0"/>
        <w:keepLines w:val="0"/>
        <w:pageBreakBefore w:val="0"/>
        <w:kinsoku/>
        <w:wordWrap/>
        <w:overflowPunct/>
        <w:topLinePunct w:val="0"/>
        <w:autoSpaceDE/>
        <w:autoSpaceDN/>
        <w:bidi w:val="0"/>
        <w:spacing w:line="560" w:lineRule="exact"/>
        <w:ind w:left="0" w:leftChars="0"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
        </w:rPr>
        <w:t>消费帮扶----</w:t>
      </w:r>
      <w:r>
        <w:rPr>
          <w:rFonts w:hint="default" w:ascii="Times New Roman" w:hAnsi="Times New Roman" w:eastAsia="仿宋_GB2312" w:cs="Times New Roman"/>
          <w:color w:val="auto"/>
          <w:kern w:val="2"/>
          <w:sz w:val="32"/>
          <w:szCs w:val="32"/>
          <w:highlight w:val="none"/>
          <w:lang w:val="en-US" w:eastAsia="zh-CN" w:bidi="ar-SA"/>
        </w:rPr>
        <w:t>通过工会采购等方式，采购</w:t>
      </w:r>
      <w:r>
        <w:rPr>
          <w:rFonts w:hint="default" w:ascii="Times New Roman" w:hAnsi="Times New Roman" w:eastAsia="仿宋_GB2312" w:cs="Times New Roman"/>
          <w:b w:val="0"/>
          <w:bCs/>
          <w:color w:val="auto"/>
          <w:spacing w:val="6"/>
          <w:sz w:val="32"/>
          <w:szCs w:val="32"/>
          <w:highlight w:val="none"/>
          <w:lang w:val="en-US" w:eastAsia="zh-CN"/>
        </w:rPr>
        <w:t>集团公司扶贫村唐县西同龙村山地苹果、中华寿桃等</w:t>
      </w:r>
      <w:r>
        <w:rPr>
          <w:rFonts w:hint="default" w:ascii="Times New Roman" w:hAnsi="Times New Roman" w:eastAsia="仿宋_GB2312" w:cs="Times New Roman"/>
          <w:color w:val="auto"/>
          <w:kern w:val="2"/>
          <w:sz w:val="32"/>
          <w:szCs w:val="32"/>
          <w:highlight w:val="none"/>
          <w:lang w:val="en-US" w:eastAsia="zh-CN" w:bidi="ar-SA"/>
        </w:rPr>
        <w:t>脱贫地区农产品共计约4万元。</w:t>
      </w:r>
    </w:p>
    <w:p>
      <w:pPr>
        <w:keepNext w:val="0"/>
        <w:keepLines w:val="0"/>
        <w:pageBreakBefore w:val="0"/>
        <w:kinsoku/>
        <w:wordWrap/>
        <w:overflowPunct/>
        <w:topLinePunct w:val="0"/>
        <w:autoSpaceDE/>
        <w:autoSpaceDN/>
        <w:bidi w:val="0"/>
        <w:spacing w:line="560" w:lineRule="exact"/>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教育帮扶----</w:t>
      </w:r>
      <w:r>
        <w:rPr>
          <w:rFonts w:hint="default" w:ascii="Times New Roman" w:hAnsi="Times New Roman" w:eastAsia="仿宋_GB2312" w:cs="Times New Roman"/>
          <w:color w:val="auto"/>
          <w:kern w:val="2"/>
          <w:sz w:val="32"/>
          <w:szCs w:val="32"/>
          <w:highlight w:val="none"/>
          <w:lang w:val="en-US" w:eastAsia="zh-CN" w:bidi="ar-SA"/>
        </w:rPr>
        <w:t>集团公司牵头为唐县符合资助条件的4名职业技校学生申请春、秋季“雨露计划”，每人每年获得学费补助3000元。2023年6月和9月教师节筹资购买了文体用品和慰问品，走访慰问帮扶村所属的北店头镇西同龙村小学和幼儿园，带去了集团公司全体员工的关怀和祝福。</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环境主题</w:t>
      </w:r>
      <w:r>
        <w:rPr>
          <w:rFonts w:hint="default" w:ascii="Times New Roman" w:hAnsi="Times New Roman" w:eastAsia="黑体" w:cs="Times New Roman"/>
          <w:color w:val="auto"/>
          <w:sz w:val="32"/>
          <w:szCs w:val="32"/>
          <w:highlight w:val="none"/>
          <w:lang w:val="en-US" w:eastAsia="zh-CN"/>
        </w:rPr>
        <w:t>----节能降碳</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绿色化生产生活</w:t>
      </w:r>
    </w:p>
    <w:p>
      <w:pPr>
        <w:keepNext w:val="0"/>
        <w:keepLines w:val="0"/>
        <w:pageBreakBefore w:val="0"/>
        <w:kinsoku/>
        <w:wordWrap/>
        <w:overflowPunct/>
        <w:topLinePunct w:val="0"/>
        <w:autoSpaceDE/>
        <w:autoSpaceDN/>
        <w:bidi w:val="0"/>
        <w:spacing w:line="560" w:lineRule="exact"/>
        <w:ind w:firstLine="960" w:firstLineChars="300"/>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Hans"/>
        </w:rPr>
        <w:t>国富投资集团在习近平生态文明思想的科学指引下，坚决贯彻落实党中央、国务院关于生态环境保护的战略决策和省委、省政府有关工作部署，积极投身新时代生态文明建设，着力做好节能降碳和生态环保工作。</w:t>
      </w:r>
    </w:p>
    <w:p>
      <w:pPr>
        <w:keepNext w:val="0"/>
        <w:keepLines w:val="0"/>
        <w:pageBreakBefore w:val="0"/>
        <w:kinsoku/>
        <w:wordWrap/>
        <w:overflowPunct/>
        <w:topLinePunct w:val="0"/>
        <w:autoSpaceDE/>
        <w:autoSpaceDN/>
        <w:bidi w:val="0"/>
        <w:spacing w:line="560" w:lineRule="exact"/>
        <w:ind w:firstLine="960" w:firstLineChars="300"/>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宣传教育 推广绿色低碳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国富投资</w:t>
      </w:r>
      <w:r>
        <w:rPr>
          <w:rFonts w:hint="default" w:ascii="Times New Roman" w:hAnsi="Times New Roman" w:eastAsia="仿宋_GB2312" w:cs="Times New Roman"/>
          <w:color w:val="auto"/>
          <w:sz w:val="32"/>
          <w:szCs w:val="32"/>
          <w:highlight w:val="none"/>
          <w:lang w:val="en-US" w:eastAsia="zh-Hans"/>
        </w:rPr>
        <w:t>集团领导班子带头</w:t>
      </w:r>
      <w:r>
        <w:rPr>
          <w:rFonts w:hint="default" w:ascii="Times New Roman" w:hAnsi="Times New Roman" w:eastAsia="仿宋_GB2312" w:cs="Times New Roman"/>
          <w:color w:val="auto"/>
          <w:sz w:val="32"/>
          <w:szCs w:val="32"/>
          <w:highlight w:val="none"/>
          <w:lang w:val="en-US" w:eastAsia="zh-CN"/>
        </w:rPr>
        <w:t>专题</w:t>
      </w:r>
      <w:r>
        <w:rPr>
          <w:rFonts w:hint="default" w:ascii="Times New Roman" w:hAnsi="Times New Roman" w:eastAsia="仿宋_GB2312" w:cs="Times New Roman"/>
          <w:color w:val="auto"/>
          <w:sz w:val="32"/>
          <w:szCs w:val="32"/>
          <w:highlight w:val="none"/>
          <w:lang w:val="en-US" w:eastAsia="zh-Hans"/>
        </w:rPr>
        <w:t>学习</w:t>
      </w:r>
      <w:r>
        <w:rPr>
          <w:rFonts w:hint="default" w:ascii="Times New Roman" w:hAnsi="Times New Roman" w:eastAsia="仿宋_GB2312" w:cs="Times New Roman"/>
          <w:color w:val="auto"/>
          <w:sz w:val="32"/>
          <w:szCs w:val="32"/>
          <w:highlight w:val="none"/>
          <w:lang w:val="en-US" w:eastAsia="zh-CN"/>
        </w:rPr>
        <w:t>《“十四五”生态环境保护规划》</w:t>
      </w:r>
      <w:r>
        <w:rPr>
          <w:rFonts w:hint="default" w:ascii="Times New Roman" w:hAnsi="Times New Roman" w:eastAsia="仿宋_GB2312" w:cs="Times New Roman"/>
          <w:color w:val="auto"/>
          <w:sz w:val="32"/>
          <w:szCs w:val="32"/>
          <w:highlight w:val="none"/>
          <w:lang w:val="en-US" w:eastAsia="zh-Hans"/>
        </w:rPr>
        <w:t>《2023年全国生态环境保护工作会议</w:t>
      </w:r>
      <w:r>
        <w:rPr>
          <w:rFonts w:hint="default" w:ascii="Times New Roman" w:hAnsi="Times New Roman" w:eastAsia="仿宋_GB2312" w:cs="Times New Roman"/>
          <w:color w:val="auto"/>
          <w:sz w:val="32"/>
          <w:szCs w:val="32"/>
          <w:highlight w:val="none"/>
          <w:lang w:val="en-US" w:eastAsia="zh-CN"/>
        </w:rPr>
        <w:t>精神</w:t>
      </w:r>
      <w:r>
        <w:rPr>
          <w:rFonts w:hint="default" w:ascii="Times New Roman" w:hAnsi="Times New Roman" w:eastAsia="仿宋_GB2312" w:cs="Times New Roman"/>
          <w:color w:val="auto"/>
          <w:sz w:val="32"/>
          <w:szCs w:val="32"/>
          <w:highlight w:val="none"/>
          <w:lang w:val="en-US" w:eastAsia="zh-Hans"/>
        </w:rPr>
        <w:t>》《河北省生态环境保护“十四五”规划》《</w:t>
      </w:r>
      <w:r>
        <w:rPr>
          <w:rFonts w:hint="default" w:ascii="Times New Roman" w:hAnsi="Times New Roman" w:eastAsia="仿宋_GB2312" w:cs="Times New Roman"/>
          <w:color w:val="auto"/>
          <w:sz w:val="32"/>
          <w:szCs w:val="32"/>
          <w:highlight w:val="none"/>
          <w:lang w:val="en-US" w:eastAsia="zh-CN"/>
        </w:rPr>
        <w:t>关于推进全省重点行业环保绩效创A的实施意见</w:t>
      </w:r>
      <w:r>
        <w:rPr>
          <w:rFonts w:hint="default" w:ascii="Times New Roman" w:hAnsi="Times New Roman" w:eastAsia="仿宋_GB2312" w:cs="Times New Roman"/>
          <w:color w:val="auto"/>
          <w:sz w:val="32"/>
          <w:szCs w:val="32"/>
          <w:highlight w:val="none"/>
          <w:lang w:val="en-US" w:eastAsia="zh-Hans"/>
        </w:rPr>
        <w:t>》等</w:t>
      </w:r>
      <w:r>
        <w:rPr>
          <w:rFonts w:hint="default" w:ascii="Times New Roman" w:hAnsi="Times New Roman" w:eastAsia="仿宋_GB2312" w:cs="Times New Roman"/>
          <w:color w:val="auto"/>
          <w:sz w:val="32"/>
          <w:szCs w:val="32"/>
          <w:highlight w:val="none"/>
          <w:lang w:val="en-US" w:eastAsia="zh-CN"/>
        </w:rPr>
        <w:t>文件精神，引导干部职工自觉做习近平生态文明思想的坚定信仰者、积极传播者、模范践行者</w:t>
      </w:r>
      <w:r>
        <w:rPr>
          <w:rFonts w:hint="default" w:ascii="Times New Roman" w:hAnsi="Times New Roman" w:eastAsia="仿宋_GB2312" w:cs="Times New Roman"/>
          <w:color w:val="auto"/>
          <w:sz w:val="32"/>
          <w:szCs w:val="32"/>
          <w:highlight w:val="none"/>
          <w:lang w:val="en-US" w:eastAsia="zh-Han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集团公司</w:t>
      </w:r>
      <w:r>
        <w:rPr>
          <w:rFonts w:hint="default" w:ascii="Times New Roman" w:hAnsi="Times New Roman" w:eastAsia="仿宋_GB2312" w:cs="Times New Roman"/>
          <w:b w:val="0"/>
          <w:bCs w:val="0"/>
          <w:color w:val="auto"/>
          <w:sz w:val="32"/>
          <w:szCs w:val="32"/>
          <w:highlight w:val="none"/>
          <w:lang w:val="en-US" w:eastAsia="zh-Hans"/>
        </w:rPr>
        <w:t>推行绿色办公</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Hans"/>
        </w:rPr>
        <w:t>优先采购节能、环保、再生等绿色办公用品</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Hans"/>
        </w:rPr>
        <w:t>推进办公信息化建设，</w:t>
      </w:r>
      <w:r>
        <w:rPr>
          <w:rFonts w:hint="default" w:ascii="Times New Roman" w:hAnsi="Times New Roman" w:eastAsia="仿宋_GB2312" w:cs="Times New Roman"/>
          <w:b w:val="0"/>
          <w:bCs w:val="0"/>
          <w:color w:val="auto"/>
          <w:sz w:val="32"/>
          <w:szCs w:val="32"/>
          <w:highlight w:val="none"/>
          <w:lang w:val="en-US" w:eastAsia="zh-CN"/>
        </w:rPr>
        <w:t>全面</w:t>
      </w:r>
      <w:r>
        <w:rPr>
          <w:rFonts w:hint="default" w:ascii="Times New Roman" w:hAnsi="Times New Roman" w:eastAsia="仿宋_GB2312" w:cs="Times New Roman"/>
          <w:b w:val="0"/>
          <w:bCs w:val="0"/>
          <w:color w:val="auto"/>
          <w:sz w:val="32"/>
          <w:szCs w:val="32"/>
          <w:highlight w:val="none"/>
          <w:lang w:val="en-US" w:eastAsia="zh-Hans"/>
        </w:rPr>
        <w:t>启用无纸化</w:t>
      </w:r>
      <w:r>
        <w:rPr>
          <w:rFonts w:hint="default" w:ascii="Times New Roman" w:hAnsi="Times New Roman" w:eastAsia="仿宋_GB2312" w:cs="Times New Roman"/>
          <w:b w:val="0"/>
          <w:bCs w:val="0"/>
          <w:color w:val="auto"/>
          <w:sz w:val="32"/>
          <w:szCs w:val="32"/>
          <w:highlight w:val="none"/>
          <w:lang w:eastAsia="zh-Hans"/>
        </w:rPr>
        <w:t>OA</w:t>
      </w:r>
      <w:r>
        <w:rPr>
          <w:rFonts w:hint="default" w:ascii="Times New Roman" w:hAnsi="Times New Roman" w:eastAsia="仿宋_GB2312" w:cs="Times New Roman"/>
          <w:b w:val="0"/>
          <w:bCs w:val="0"/>
          <w:color w:val="auto"/>
          <w:sz w:val="32"/>
          <w:szCs w:val="32"/>
          <w:highlight w:val="none"/>
          <w:lang w:val="en-US" w:eastAsia="zh-Hans"/>
        </w:rPr>
        <w:t>系统办公，减少纸张消耗，</w:t>
      </w:r>
      <w:r>
        <w:rPr>
          <w:rFonts w:hint="default" w:ascii="Times New Roman" w:hAnsi="Times New Roman" w:eastAsia="仿宋_GB2312" w:cs="Times New Roman"/>
          <w:b w:val="0"/>
          <w:bCs w:val="0"/>
          <w:color w:val="auto"/>
          <w:sz w:val="32"/>
          <w:szCs w:val="32"/>
          <w:highlight w:val="none"/>
          <w:lang w:val="en-US" w:eastAsia="zh-CN"/>
        </w:rPr>
        <w:t>同时</w:t>
      </w:r>
      <w:r>
        <w:rPr>
          <w:rFonts w:hint="default" w:ascii="Times New Roman" w:hAnsi="Times New Roman" w:eastAsia="仿宋_GB2312" w:cs="Times New Roman"/>
          <w:b w:val="0"/>
          <w:bCs w:val="0"/>
          <w:color w:val="auto"/>
          <w:sz w:val="32"/>
          <w:szCs w:val="32"/>
          <w:highlight w:val="none"/>
          <w:lang w:val="en-US" w:eastAsia="zh-Hans"/>
        </w:rPr>
        <w:t>坚持勤俭办会。</w:t>
      </w:r>
      <w:r>
        <w:rPr>
          <w:rFonts w:hint="default" w:ascii="Times New Roman" w:hAnsi="Times New Roman" w:eastAsia="仿宋_GB2312" w:cs="Times New Roman"/>
          <w:b w:val="0"/>
          <w:bCs w:val="0"/>
          <w:color w:val="auto"/>
          <w:sz w:val="32"/>
          <w:szCs w:val="32"/>
          <w:highlight w:val="none"/>
          <w:lang w:val="en-US" w:eastAsia="zh-CN"/>
        </w:rPr>
        <w:t>提倡</w:t>
      </w:r>
      <w:r>
        <w:rPr>
          <w:rFonts w:hint="default" w:ascii="Times New Roman" w:hAnsi="Times New Roman" w:eastAsia="仿宋_GB2312" w:cs="Times New Roman"/>
          <w:b w:val="0"/>
          <w:bCs w:val="0"/>
          <w:color w:val="auto"/>
          <w:sz w:val="32"/>
          <w:szCs w:val="32"/>
          <w:highlight w:val="none"/>
          <w:lang w:val="en-US" w:eastAsia="zh-Hans"/>
        </w:rPr>
        <w:t>节约</w:t>
      </w:r>
      <w:r>
        <w:rPr>
          <w:rFonts w:hint="default" w:ascii="Times New Roman" w:hAnsi="Times New Roman" w:eastAsia="仿宋_GB2312" w:cs="Times New Roman"/>
          <w:b w:val="0"/>
          <w:bCs w:val="0"/>
          <w:color w:val="auto"/>
          <w:sz w:val="32"/>
          <w:szCs w:val="32"/>
          <w:highlight w:val="none"/>
          <w:lang w:val="en-US" w:eastAsia="zh-CN"/>
        </w:rPr>
        <w:t>水电，</w:t>
      </w:r>
      <w:r>
        <w:rPr>
          <w:rFonts w:hint="default" w:ascii="Times New Roman" w:hAnsi="Times New Roman" w:eastAsia="仿宋_GB2312" w:cs="Times New Roman"/>
          <w:b w:val="0"/>
          <w:bCs w:val="0"/>
          <w:color w:val="auto"/>
          <w:sz w:val="32"/>
          <w:szCs w:val="32"/>
          <w:highlight w:val="none"/>
          <w:lang w:val="en-US" w:eastAsia="zh-Hans"/>
        </w:rPr>
        <w:t>加大节能灯具改造，</w:t>
      </w:r>
      <w:r>
        <w:rPr>
          <w:rFonts w:hint="default" w:ascii="Times New Roman" w:hAnsi="Times New Roman" w:eastAsia="仿宋_GB2312" w:cs="Times New Roman"/>
          <w:b w:val="0"/>
          <w:bCs w:val="0"/>
          <w:color w:val="auto"/>
          <w:sz w:val="32"/>
          <w:szCs w:val="32"/>
          <w:highlight w:val="none"/>
          <w:lang w:val="en-US" w:eastAsia="zh-CN"/>
        </w:rPr>
        <w:t>增加声控照明</w:t>
      </w:r>
      <w:r>
        <w:rPr>
          <w:rFonts w:hint="default" w:ascii="Times New Roman" w:hAnsi="Times New Roman" w:eastAsia="仿宋_GB2312" w:cs="Times New Roman"/>
          <w:b w:val="0"/>
          <w:bCs w:val="0"/>
          <w:color w:val="auto"/>
          <w:sz w:val="32"/>
          <w:szCs w:val="32"/>
          <w:highlight w:val="none"/>
          <w:lang w:val="en-US" w:eastAsia="zh-Hans"/>
        </w:rPr>
        <w:t>，办公区每日定时统一断电，加强用水设备日常维护管理，</w:t>
      </w:r>
      <w:r>
        <w:rPr>
          <w:rFonts w:hint="default" w:ascii="Times New Roman" w:hAnsi="Times New Roman" w:eastAsia="仿宋_GB2312" w:cs="Times New Roman"/>
          <w:b w:val="0"/>
          <w:bCs w:val="0"/>
          <w:color w:val="auto"/>
          <w:sz w:val="32"/>
          <w:szCs w:val="32"/>
          <w:highlight w:val="none"/>
          <w:lang w:val="en-US" w:eastAsia="zh-CN"/>
        </w:rPr>
        <w:t>控制</w:t>
      </w:r>
      <w:r>
        <w:rPr>
          <w:rFonts w:hint="default" w:ascii="Times New Roman" w:hAnsi="Times New Roman" w:eastAsia="仿宋_GB2312" w:cs="Times New Roman"/>
          <w:b w:val="0"/>
          <w:bCs w:val="0"/>
          <w:color w:val="auto"/>
          <w:sz w:val="32"/>
          <w:szCs w:val="32"/>
          <w:highlight w:val="none"/>
          <w:lang w:val="en-US" w:eastAsia="zh-Hans"/>
        </w:rPr>
        <w:t>水龙头</w:t>
      </w:r>
      <w:r>
        <w:rPr>
          <w:rFonts w:hint="default" w:ascii="Times New Roman" w:hAnsi="Times New Roman" w:eastAsia="仿宋_GB2312" w:cs="Times New Roman"/>
          <w:b w:val="0"/>
          <w:bCs w:val="0"/>
          <w:color w:val="auto"/>
          <w:sz w:val="32"/>
          <w:szCs w:val="32"/>
          <w:highlight w:val="none"/>
          <w:lang w:val="en-US" w:eastAsia="zh-CN"/>
        </w:rPr>
        <w:t>流量</w:t>
      </w:r>
      <w:r>
        <w:rPr>
          <w:rFonts w:hint="default" w:ascii="Times New Roman" w:hAnsi="Times New Roman" w:eastAsia="仿宋_GB2312" w:cs="Times New Roman"/>
          <w:b w:val="0"/>
          <w:bCs w:val="0"/>
          <w:color w:val="auto"/>
          <w:sz w:val="32"/>
          <w:szCs w:val="32"/>
          <w:highlight w:val="none"/>
          <w:lang w:val="en-US" w:eastAsia="zh-Hans"/>
        </w:rPr>
        <w:t>，严防跑冒滴漏现象。反对食品浪费</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Hans"/>
        </w:rPr>
        <w:t>推进节约型食堂建设，开展光盘行动，监督食堂用餐</w:t>
      </w:r>
      <w:r>
        <w:rPr>
          <w:rFonts w:hint="default" w:ascii="Times New Roman" w:hAnsi="Times New Roman" w:eastAsia="仿宋_GB2312" w:cs="Times New Roman"/>
          <w:b w:val="0"/>
          <w:bCs w:val="0"/>
          <w:color w:val="auto"/>
          <w:sz w:val="32"/>
          <w:szCs w:val="32"/>
          <w:highlight w:val="none"/>
          <w:lang w:val="en-US" w:eastAsia="zh-CN"/>
        </w:rPr>
        <w:t>浪费</w:t>
      </w:r>
      <w:r>
        <w:rPr>
          <w:rFonts w:hint="default" w:ascii="Times New Roman" w:hAnsi="Times New Roman" w:eastAsia="仿宋_GB2312" w:cs="Times New Roman"/>
          <w:b w:val="0"/>
          <w:bCs w:val="0"/>
          <w:color w:val="auto"/>
          <w:sz w:val="32"/>
          <w:szCs w:val="32"/>
          <w:highlight w:val="none"/>
          <w:lang w:val="en-US" w:eastAsia="zh-Hans"/>
        </w:rPr>
        <w:t>情况，积极用“小餐桌”带动“大文明”。倡导绿色出行</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Hans"/>
        </w:rPr>
        <w:t>形成简约适度</w:t>
      </w:r>
      <w:r>
        <w:rPr>
          <w:rFonts w:hint="default" w:ascii="Times New Roman" w:hAnsi="Times New Roman" w:eastAsia="仿宋_GB2312" w:cs="Times New Roman"/>
          <w:color w:val="auto"/>
          <w:sz w:val="32"/>
          <w:szCs w:val="32"/>
          <w:highlight w:val="none"/>
          <w:lang w:val="en-US" w:eastAsia="zh-Hans"/>
        </w:rPr>
        <w:t>、绿色低碳、文明健康的出行风尚</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社会主题</w:t>
      </w:r>
      <w:r>
        <w:rPr>
          <w:rFonts w:hint="default" w:ascii="Times New Roman" w:hAnsi="Times New Roman" w:eastAsia="黑体" w:cs="Times New Roman"/>
          <w:color w:val="auto"/>
          <w:sz w:val="32"/>
          <w:szCs w:val="32"/>
          <w:highlight w:val="none"/>
          <w:lang w:val="en-US" w:eastAsia="zh-CN"/>
        </w:rPr>
        <w:t>----携手前行</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共创美好生活</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国富投资集团始终坚持以人为本的发展理念，强化人力资源管理，多渠道引才聚智，激发创新创造活力。切实维护员工权益，助力员工成长，为员工打造和谐舒适、健康安全的职场环境，做到企业发展依靠广大员工，发展成果普惠广大员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热心参与公益事业，使企业发展成果更好惠及广大群众。</w:t>
      </w: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科学规划  助力人才发展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国富投资集团深入贯彻落实“十四五”人才发展规划，强化规划引领和改革推动，坚持人力资源管理和集团战略、业务发展同步谋划、同步部署、同步落实，持续优化人才成长路径和队伍结构，助力人才健康成长，充分激发创新创造活力。截至2023年底，集团公司共有员工372人，男女员工比例为59:41。全员整体平均年龄39岁，40岁以下占比59%。本科学历209人，研究生学历25人。拥有中高级职称人员72人，注册会计师15人。集团公司党委管理中层副职以上管理人员41人。</w:t>
      </w:r>
      <w:r>
        <w:rPr>
          <w:rFonts w:hint="default" w:ascii="Times New Roman" w:hAnsi="Times New Roman" w:eastAsia="仿宋_GB2312" w:cs="Times New Roman"/>
          <w:color w:val="auto"/>
          <w:kern w:val="0"/>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人才培养</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rPr>
        <w:t>2023年集团公司继续深化国企改革三年行动三项制度改革的相关要求，结合集</w:t>
      </w:r>
      <w:bookmarkStart w:id="1" w:name="_GoBack"/>
      <w:bookmarkEnd w:id="1"/>
      <w:r>
        <w:rPr>
          <w:rFonts w:hint="default" w:ascii="Times New Roman" w:hAnsi="Times New Roman" w:eastAsia="仿宋_GB2312" w:cs="Times New Roman"/>
          <w:color w:val="auto"/>
          <w:kern w:val="0"/>
          <w:sz w:val="32"/>
          <w:szCs w:val="32"/>
          <w:highlight w:val="none"/>
          <w:lang w:val="en-US" w:eastAsia="zh-CN"/>
        </w:rPr>
        <w:t>团公司</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十四五</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规划</w:t>
      </w:r>
      <w:r>
        <w:rPr>
          <w:rFonts w:hint="eastAsia" w:ascii="Times New Roman" w:hAnsi="Times New Roman" w:eastAsia="仿宋_GB2312" w:cs="Times New Roman"/>
          <w:color w:val="auto"/>
          <w:kern w:val="0"/>
          <w:sz w:val="32"/>
          <w:szCs w:val="32"/>
          <w:highlight w:val="none"/>
          <w:lang w:val="en-US" w:eastAsia="zh-CN"/>
        </w:rPr>
        <w:t>及</w:t>
      </w:r>
      <w:r>
        <w:rPr>
          <w:rFonts w:hint="default" w:ascii="Times New Roman" w:hAnsi="Times New Roman" w:eastAsia="仿宋_GB2312" w:cs="Times New Roman"/>
          <w:color w:val="auto"/>
          <w:kern w:val="0"/>
          <w:sz w:val="32"/>
          <w:szCs w:val="32"/>
          <w:highlight w:val="none"/>
          <w:lang w:val="en-US" w:eastAsia="zh-CN"/>
        </w:rPr>
        <w:t>业务开展需要，进一步完善集团人力资源体系建设，提升科学选人用人能力，核定集团公司机构编制人数，明确各级子公司人员管理权限。通过竞岗、轮岗等方式，推动15名干部和员工的提升和交流。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人才引进</w:t>
      </w:r>
      <w:r>
        <w:rPr>
          <w:rFonts w:hint="default" w:ascii="Times New Roman" w:hAnsi="Times New Roman" w:eastAsia="仿宋_GB2312" w:cs="Times New Roman"/>
          <w:b/>
          <w:bCs/>
          <w:color w:val="auto"/>
          <w:kern w:val="2"/>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2023年集团公司以业务发展需求为导向，进一步拓展人才引进渠道，加大人才引进力度，聚焦重点引才方向，不断提升人才梯队建设，强化业务人才保障，引进3名法律和财务专业人才。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员工培训</w:t>
      </w:r>
      <w:r>
        <w:rPr>
          <w:rFonts w:hint="default" w:ascii="Times New Roman" w:hAnsi="Times New Roman" w:eastAsia="仿宋_GB2312" w:cs="Times New Roman"/>
          <w:b/>
          <w:bCs/>
          <w:color w:val="auto"/>
          <w:kern w:val="2"/>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2023年集团共组织重点财务、法律合规等业务培训10次，累计培训300余人次。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left"/>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薪酬福利</w:t>
      </w:r>
      <w:r>
        <w:rPr>
          <w:rFonts w:hint="default" w:ascii="Times New Roman" w:hAnsi="Times New Roman" w:eastAsia="仿宋_GB2312" w:cs="Times New Roman"/>
          <w:b/>
          <w:bCs/>
          <w:color w:val="auto"/>
          <w:kern w:val="2"/>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2023年集团公司持续完善薪酬福利保障体系，解决事业编人员养老保险、事业试点账户人员养老保险补缴等福利保障项目。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eastAsia" w:ascii="Times New Roman" w:hAnsi="Times New Roman" w:eastAsia="黑体" w:cs="Times New Roman"/>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暖心关怀</w:t>
      </w:r>
      <w:r>
        <w:rPr>
          <w:rFonts w:hint="default" w:ascii="Times New Roman" w:hAnsi="Times New Roman" w:eastAsia="黑体" w:cs="Times New Roman"/>
          <w:color w:val="auto"/>
          <w:sz w:val="32"/>
          <w:szCs w:val="32"/>
          <w:highlight w:val="none"/>
          <w:lang w:val="en-US" w:eastAsia="zh-CN"/>
        </w:rPr>
        <w:t xml:space="preserve">  增进员工幸福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2023年，国富</w:t>
      </w:r>
      <w:r>
        <w:rPr>
          <w:rFonts w:hint="eastAsia" w:ascii="Times New Roman" w:hAnsi="Times New Roman" w:eastAsia="仿宋_GB2312" w:cs="Times New Roman"/>
          <w:b w:val="0"/>
          <w:bCs/>
          <w:color w:val="auto"/>
          <w:sz w:val="32"/>
          <w:szCs w:val="32"/>
          <w:highlight w:val="none"/>
          <w:lang w:val="en-US" w:eastAsia="zh-CN"/>
        </w:rPr>
        <w:t>投资</w:t>
      </w:r>
      <w:r>
        <w:rPr>
          <w:rFonts w:hint="default" w:ascii="Times New Roman" w:hAnsi="Times New Roman" w:eastAsia="仿宋_GB2312" w:cs="Times New Roman"/>
          <w:b w:val="0"/>
          <w:bCs/>
          <w:color w:val="auto"/>
          <w:sz w:val="32"/>
          <w:szCs w:val="32"/>
          <w:highlight w:val="none"/>
          <w:lang w:val="en-US" w:eastAsia="zh-CN"/>
        </w:rPr>
        <w:t>集团切实保障员工合法权益，创新和完善福利保障机制，营造“快乐工作、健康生活”的良好氛围，让广大员工的幸福感更持续、获得感更具成色、归属感更为强烈。</w:t>
      </w:r>
    </w:p>
    <w:p>
      <w:pPr>
        <w:pStyle w:val="1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倾听员工声音</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2023年，集团公司组织召开职代会和工代会，就</w:t>
      </w:r>
      <w:r>
        <w:rPr>
          <w:rFonts w:hint="default" w:ascii="Times New Roman" w:hAnsi="Times New Roman" w:eastAsia="仿宋_GB2312" w:cs="Times New Roman"/>
          <w:color w:val="auto"/>
          <w:sz w:val="32"/>
          <w:szCs w:val="32"/>
          <w:highlight w:val="none"/>
        </w:rPr>
        <w:t>事业资产与企业资产分割的相关事项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年度企业年金运行情况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工会委员会</w:t>
      </w:r>
      <w:r>
        <w:rPr>
          <w:rFonts w:hint="default" w:ascii="Times New Roman" w:hAnsi="Times New Roman" w:eastAsia="仿宋_GB2312" w:cs="Times New Roman"/>
          <w:color w:val="auto"/>
          <w:sz w:val="32"/>
          <w:szCs w:val="32"/>
          <w:highlight w:val="none"/>
        </w:rPr>
        <w:t>2022年度工作</w:t>
      </w:r>
      <w:r>
        <w:rPr>
          <w:rFonts w:hint="default" w:ascii="Times New Roman" w:hAnsi="Times New Roman" w:eastAsia="仿宋_GB2312" w:cs="Times New Roman"/>
          <w:color w:val="auto"/>
          <w:sz w:val="32"/>
          <w:szCs w:val="32"/>
          <w:highlight w:val="none"/>
          <w:lang w:val="en-US" w:eastAsia="zh-CN"/>
        </w:rPr>
        <w:t>报告、工会委员会</w:t>
      </w:r>
      <w:r>
        <w:rPr>
          <w:rFonts w:hint="default" w:ascii="Times New Roman" w:hAnsi="Times New Roman" w:eastAsia="仿宋_GB2312" w:cs="Times New Roman"/>
          <w:color w:val="auto"/>
          <w:sz w:val="32"/>
          <w:szCs w:val="32"/>
          <w:highlight w:val="none"/>
        </w:rPr>
        <w:t>2022年度决算和2023年度预算编报情况</w:t>
      </w:r>
      <w:r>
        <w:rPr>
          <w:rFonts w:hint="default" w:ascii="Times New Roman" w:hAnsi="Times New Roman" w:eastAsia="仿宋_GB2312" w:cs="Times New Roman"/>
          <w:color w:val="auto"/>
          <w:sz w:val="32"/>
          <w:szCs w:val="32"/>
          <w:highlight w:val="none"/>
          <w:lang w:val="en-US" w:eastAsia="zh-CN"/>
        </w:rPr>
        <w:t>报告等</w:t>
      </w:r>
      <w:r>
        <w:rPr>
          <w:rFonts w:hint="default" w:ascii="Times New Roman" w:hAnsi="Times New Roman" w:eastAsia="仿宋_GB2312" w:cs="Times New Roman"/>
          <w:b w:val="0"/>
          <w:bCs/>
          <w:color w:val="auto"/>
          <w:sz w:val="32"/>
          <w:szCs w:val="32"/>
          <w:highlight w:val="none"/>
          <w:lang w:val="en-US" w:eastAsia="zh-CN"/>
        </w:rPr>
        <w:t>议题，广泛征求听取员工意见建议，切实维护员工的合法权益，提升集团民主管理水平。</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员工健康生活</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集团公司认真落实健康中国战略，组织开展2023年度职工体检工作，依托“体检套餐”和“自选项目”，满足员工体检需求。邀请体检中心专家开展健康辅导“一对一”座谈交流，提升全员职工健康理念。深度关注员工需求，持续优化完善包括年节福利、慰问走访、困难帮扶等福利保障体系，全年累计慰问42次。积极推动“一日捐”救助，为员工申报救助款14.2万元。</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丰富文化生活</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集团公司通过有特色、有创意的集体活动，极大地丰富</w:t>
      </w:r>
      <w:r>
        <w:rPr>
          <w:rFonts w:hint="eastAsia" w:ascii="Times New Roman" w:hAnsi="Times New Roman" w:eastAsia="仿宋_GB2312" w:cs="Times New Roman"/>
          <w:b w:val="0"/>
          <w:bCs/>
          <w:color w:val="auto"/>
          <w:sz w:val="32"/>
          <w:szCs w:val="32"/>
          <w:highlight w:val="none"/>
          <w:lang w:val="en-US" w:eastAsia="zh-CN"/>
        </w:rPr>
        <w:t>了</w:t>
      </w:r>
      <w:r>
        <w:rPr>
          <w:rFonts w:hint="default" w:ascii="Times New Roman" w:hAnsi="Times New Roman" w:eastAsia="仿宋_GB2312" w:cs="Times New Roman"/>
          <w:b w:val="0"/>
          <w:bCs/>
          <w:color w:val="auto"/>
          <w:sz w:val="32"/>
          <w:szCs w:val="32"/>
          <w:highlight w:val="none"/>
          <w:lang w:val="en-US" w:eastAsia="zh-CN"/>
        </w:rPr>
        <w:t>员工业余文化生活</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组织</w:t>
      </w:r>
      <w:r>
        <w:rPr>
          <w:rFonts w:hint="eastAsia" w:ascii="Times New Roman" w:hAnsi="Times New Roman" w:eastAsia="仿宋_GB2312" w:cs="Times New Roman"/>
          <w:b w:val="0"/>
          <w:bCs/>
          <w:color w:val="auto"/>
          <w:sz w:val="32"/>
          <w:szCs w:val="32"/>
          <w:highlight w:val="none"/>
          <w:lang w:val="en-US" w:eastAsia="zh-CN"/>
        </w:rPr>
        <w:t>了</w:t>
      </w:r>
      <w:r>
        <w:rPr>
          <w:rFonts w:hint="default" w:ascii="Times New Roman" w:hAnsi="Times New Roman" w:eastAsia="仿宋_GB2312" w:cs="Times New Roman"/>
          <w:b w:val="0"/>
          <w:bCs/>
          <w:color w:val="auto"/>
          <w:sz w:val="32"/>
          <w:szCs w:val="32"/>
          <w:highlight w:val="none"/>
          <w:lang w:val="en-US" w:eastAsia="zh-CN"/>
        </w:rPr>
        <w:t>踏青采摘、妇女节古镇古装游、健步走、复转军人交流座谈会、参观纪念馆等活动。</w:t>
      </w:r>
      <w:r>
        <w:rPr>
          <w:rFonts w:hint="eastAsia" w:ascii="Times New Roman" w:hAnsi="Times New Roman" w:eastAsia="仿宋_GB2312" w:cs="Times New Roman"/>
          <w:b w:val="0"/>
          <w:bCs/>
          <w:color w:val="auto"/>
          <w:sz w:val="32"/>
          <w:szCs w:val="32"/>
          <w:highlight w:val="none"/>
          <w:lang w:val="en-US" w:eastAsia="zh-CN"/>
        </w:rPr>
        <w:t>组织</w:t>
      </w:r>
      <w:r>
        <w:rPr>
          <w:rFonts w:hint="default" w:ascii="Times New Roman" w:hAnsi="Times New Roman" w:eastAsia="仿宋_GB2312" w:cs="Times New Roman"/>
          <w:b w:val="0"/>
          <w:bCs/>
          <w:color w:val="auto"/>
          <w:sz w:val="32"/>
          <w:szCs w:val="32"/>
          <w:highlight w:val="none"/>
          <w:lang w:val="en-US" w:eastAsia="zh-CN"/>
        </w:rPr>
        <w:t>参加</w:t>
      </w:r>
      <w:r>
        <w:rPr>
          <w:rFonts w:hint="eastAsia" w:ascii="Times New Roman" w:hAnsi="Times New Roman" w:eastAsia="仿宋_GB2312" w:cs="Times New Roman"/>
          <w:b w:val="0"/>
          <w:bCs/>
          <w:color w:val="auto"/>
          <w:sz w:val="32"/>
          <w:szCs w:val="32"/>
          <w:highlight w:val="none"/>
          <w:lang w:val="en-US" w:eastAsia="zh-CN"/>
        </w:rPr>
        <w:t>了</w:t>
      </w:r>
      <w:r>
        <w:rPr>
          <w:rFonts w:hint="default" w:ascii="Times New Roman" w:hAnsi="Times New Roman" w:eastAsia="仿宋_GB2312" w:cs="Times New Roman"/>
          <w:b w:val="0"/>
          <w:bCs/>
          <w:color w:val="auto"/>
          <w:sz w:val="32"/>
          <w:szCs w:val="32"/>
          <w:highlight w:val="none"/>
          <w:lang w:val="en-US" w:eastAsia="zh-CN"/>
        </w:rPr>
        <w:t>第八届投资公司联合运动会和省国资委系统</w:t>
      </w:r>
      <w:r>
        <w:rPr>
          <w:rFonts w:hint="default" w:ascii="Times New Roman" w:hAnsi="Times New Roman" w:eastAsia="仿宋_GB2312" w:cs="Times New Roman"/>
          <w:b w:val="0"/>
          <w:bCs/>
          <w:color w:val="auto"/>
          <w:spacing w:val="6"/>
          <w:sz w:val="32"/>
          <w:szCs w:val="32"/>
          <w:highlight w:val="none"/>
          <w:lang w:val="en-US" w:eastAsia="zh-CN"/>
        </w:rPr>
        <w:t>“京畿匠师杯”乒羽比赛活动</w:t>
      </w:r>
      <w:r>
        <w:rPr>
          <w:rFonts w:hint="eastAsia" w:ascii="Times New Roman" w:hAnsi="Times New Roman" w:eastAsia="仿宋_GB2312" w:cs="Times New Roman"/>
          <w:b w:val="0"/>
          <w:bCs/>
          <w:color w:val="auto"/>
          <w:spacing w:val="6"/>
          <w:sz w:val="32"/>
          <w:szCs w:val="32"/>
          <w:highlight w:val="none"/>
          <w:lang w:val="en-US" w:eastAsia="zh-CN"/>
        </w:rPr>
        <w:t>，都取得了较好成绩</w:t>
      </w:r>
      <w:r>
        <w:rPr>
          <w:rFonts w:hint="default" w:ascii="Times New Roman" w:hAnsi="Times New Roman" w:eastAsia="仿宋_GB2312" w:cs="Times New Roman"/>
          <w:b w:val="0"/>
          <w:bCs/>
          <w:color w:val="auto"/>
          <w:spacing w:val="6"/>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建设职工书屋，</w:t>
      </w:r>
      <w:r>
        <w:rPr>
          <w:rFonts w:hint="default" w:ascii="Times New Roman" w:hAnsi="Times New Roman" w:eastAsia="仿宋_GB2312" w:cs="Times New Roman"/>
          <w:b w:val="0"/>
          <w:bCs/>
          <w:color w:val="auto"/>
          <w:spacing w:val="6"/>
          <w:sz w:val="32"/>
          <w:szCs w:val="32"/>
          <w:highlight w:val="none"/>
          <w:lang w:val="en-US" w:eastAsia="zh-CN"/>
        </w:rPr>
        <w:t>共收录各类图书近300册，</w:t>
      </w:r>
      <w:r>
        <w:rPr>
          <w:rFonts w:hint="default" w:ascii="Times New Roman" w:hAnsi="Times New Roman" w:eastAsia="仿宋_GB2312" w:cs="Times New Roman"/>
          <w:b w:val="0"/>
          <w:bCs/>
          <w:color w:val="auto"/>
          <w:sz w:val="32"/>
          <w:szCs w:val="32"/>
          <w:highlight w:val="none"/>
          <w:lang w:val="en-US" w:eastAsia="zh-CN"/>
        </w:rPr>
        <w:t>增进员工交流，营造博学笃行、求知拓新的良好工作氛围。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热心公益  真情服务社会</w:t>
      </w:r>
    </w:p>
    <w:p>
      <w:pPr>
        <w:pStyle w:val="9"/>
        <w:keepNext w:val="0"/>
        <w:keepLines w:val="0"/>
        <w:pageBreakBefore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2023年，国富投资集团将“我为群众办实事”与社会公益事业相结合</w:t>
      </w:r>
      <w:r>
        <w:rPr>
          <w:rFonts w:hint="eastAsia" w:ascii="Times New Roman" w:hAnsi="Times New Roman" w:eastAsia="仿宋_GB2312" w:cs="Times New Roman"/>
          <w:color w:val="auto"/>
          <w:kern w:val="0"/>
          <w:sz w:val="32"/>
          <w:szCs w:val="32"/>
          <w:highlight w:val="none"/>
          <w:lang w:val="en-US" w:eastAsia="zh-CN" w:bidi="ar"/>
        </w:rPr>
        <w:t>。积极参与地方救灾捐助，为保障民生做出贡献。</w:t>
      </w:r>
      <w:r>
        <w:rPr>
          <w:rFonts w:hint="default" w:ascii="Times New Roman" w:hAnsi="Times New Roman" w:eastAsia="仿宋_GB2312" w:cs="Times New Roman"/>
          <w:color w:val="auto"/>
          <w:kern w:val="0"/>
          <w:sz w:val="32"/>
          <w:szCs w:val="32"/>
          <w:highlight w:val="none"/>
          <w:lang w:val="en-US" w:eastAsia="zh-CN" w:bidi="ar"/>
        </w:rPr>
        <w:t>积极开展类型丰富、形式多样的普法活动，帮助社会公众</w:t>
      </w:r>
      <w:r>
        <w:rPr>
          <w:rFonts w:hint="default" w:ascii="Times New Roman" w:hAnsi="Times New Roman" w:eastAsia="仿宋_GB2312" w:cs="Times New Roman"/>
          <w:color w:val="auto"/>
          <w:sz w:val="32"/>
          <w:szCs w:val="32"/>
          <w:highlight w:val="none"/>
          <w:shd w:val="clear" w:color="auto" w:fill="FFFFFF"/>
        </w:rPr>
        <w:t>树立正确的投资理念，增强风险防范意识，依法维护自身合法权益</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建立投资者教育基地，积极</w:t>
      </w:r>
      <w:r>
        <w:rPr>
          <w:rFonts w:hint="default" w:ascii="Times New Roman" w:hAnsi="Times New Roman" w:eastAsia="仿宋_GB2312" w:cs="Times New Roman"/>
          <w:color w:val="auto"/>
          <w:sz w:val="32"/>
          <w:szCs w:val="32"/>
          <w:highlight w:val="none"/>
        </w:rPr>
        <w:t>推动校企合作,支持高校人才培养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普及金融知识进校园。</w:t>
      </w:r>
    </w:p>
    <w:p>
      <w:pPr>
        <w:ind w:firstLine="643" w:firstLineChars="200"/>
        <w:rPr>
          <w:rFonts w:hint="default" w:asciiTheme="minorHAnsi" w:hAnsiTheme="minorHAnsi" w:eastAsiaTheme="minorEastAsia" w:cstheme="minorBidi"/>
          <w:color w:val="auto"/>
          <w:kern w:val="2"/>
          <w:sz w:val="21"/>
          <w:szCs w:val="24"/>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救灾捐助----</w:t>
      </w:r>
      <w:r>
        <w:rPr>
          <w:rFonts w:hint="eastAsia" w:ascii="Times New Roman" w:hAnsi="Times New Roman" w:eastAsia="仿宋_GB2312" w:cs="Times New Roman"/>
          <w:color w:val="auto"/>
          <w:kern w:val="0"/>
          <w:sz w:val="32"/>
          <w:szCs w:val="32"/>
          <w:highlight w:val="none"/>
          <w:lang w:val="en-US" w:eastAsia="zh-CN" w:bidi="ar"/>
        </w:rPr>
        <w:t>2023年7至8月间，我省部分区域持续强降雨引发洪涝灾害。集团公司根据我省洪涝灾后重建对口帮扶工作方案，全面落实省委、省政府关于做好灾后重建的总体部署，发挥“一方有难，八方支援”的国企担当，对省国资委牵头帮扶的永清县捐款50万元。同时，所属恒银期货公司及</w:t>
      </w:r>
      <w:r>
        <w:rPr>
          <w:rFonts w:hint="default" w:ascii="Times New Roman" w:hAnsi="Times New Roman" w:eastAsia="仿宋_GB2312" w:cs="Times New Roman"/>
          <w:color w:val="auto"/>
          <w:kern w:val="0"/>
          <w:sz w:val="32"/>
          <w:szCs w:val="32"/>
          <w:highlight w:val="none"/>
          <w:lang w:val="en-US" w:eastAsia="zh-CN" w:bidi="ar"/>
        </w:rPr>
        <w:t>集团</w:t>
      </w:r>
      <w:r>
        <w:rPr>
          <w:rFonts w:hint="eastAsia" w:ascii="Times New Roman" w:hAnsi="Times New Roman" w:eastAsia="仿宋_GB2312" w:cs="Times New Roman"/>
          <w:color w:val="auto"/>
          <w:kern w:val="0"/>
          <w:sz w:val="32"/>
          <w:szCs w:val="32"/>
          <w:highlight w:val="none"/>
          <w:lang w:val="en-US" w:eastAsia="zh-CN" w:bidi="ar"/>
        </w:rPr>
        <w:t>部分员工积极响应号召，全力支持涿州救灾和尽快恢复灾区生活秩序，捐款捐物超2万元。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bidi="ar"/>
        </w:rPr>
        <w:t>普法工作----</w:t>
      </w:r>
      <w:r>
        <w:rPr>
          <w:rFonts w:hint="default" w:ascii="Times New Roman" w:hAnsi="Times New Roman" w:eastAsia="仿宋_GB2312" w:cs="Times New Roman"/>
          <w:color w:val="auto"/>
          <w:kern w:val="0"/>
          <w:sz w:val="32"/>
          <w:szCs w:val="32"/>
          <w:highlight w:val="none"/>
          <w:lang w:val="en-US" w:eastAsia="zh-CN" w:bidi="ar"/>
        </w:rPr>
        <w:t>国富投资集团积极做好依法合规经营宣传教育工作，深入开展学习民法典系列活动，</w:t>
      </w:r>
      <w:r>
        <w:rPr>
          <w:rFonts w:hint="default" w:ascii="Times New Roman" w:hAnsi="Times New Roman" w:eastAsia="仿宋_GB2312" w:cs="Times New Roman"/>
          <w:color w:val="auto"/>
          <w:sz w:val="32"/>
          <w:szCs w:val="32"/>
          <w:highlight w:val="none"/>
          <w:lang w:val="en-US" w:eastAsia="zh-CN"/>
        </w:rPr>
        <w:t>组织座谈、问卷调查等</w:t>
      </w:r>
      <w:r>
        <w:rPr>
          <w:rFonts w:hint="default" w:ascii="Times New Roman" w:hAnsi="Times New Roman" w:eastAsia="仿宋_GB2312" w:cs="Times New Roman"/>
          <w:color w:val="auto"/>
          <w:sz w:val="32"/>
          <w:szCs w:val="32"/>
          <w:highlight w:val="none"/>
        </w:rPr>
        <w:t>多种形式的法律服务工作，建立法律资料库，解答法律问题和困惑。</w:t>
      </w:r>
      <w:r>
        <w:rPr>
          <w:rFonts w:hint="default" w:ascii="Times New Roman" w:hAnsi="Times New Roman"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rPr>
        <w:t>共组织参加了</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期</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法治大讲堂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培训和3次法律合规</w:t>
      </w:r>
      <w:r>
        <w:rPr>
          <w:rFonts w:hint="default" w:ascii="Times New Roman" w:hAnsi="Times New Roman" w:eastAsia="仿宋_GB2312" w:cs="Times New Roman"/>
          <w:color w:val="auto"/>
          <w:sz w:val="32"/>
          <w:szCs w:val="32"/>
          <w:highlight w:val="none"/>
        </w:rPr>
        <w:t>培训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分别学习了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民法典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中关于投资担保等与公司经营</w:t>
      </w:r>
      <w:r>
        <w:rPr>
          <w:rFonts w:hint="default" w:ascii="Times New Roman" w:hAnsi="Times New Roman" w:eastAsia="仿宋_GB2312" w:cs="Times New Roman"/>
          <w:color w:val="auto"/>
          <w:sz w:val="32"/>
          <w:szCs w:val="32"/>
          <w:highlight w:val="none"/>
        </w:rPr>
        <w:t>相关内容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合规管理工作</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《合规管理办法》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提高了</w:t>
      </w:r>
      <w:r>
        <w:rPr>
          <w:rFonts w:hint="default" w:ascii="Times New Roman" w:hAnsi="Times New Roman" w:eastAsia="仿宋_GB2312" w:cs="Times New Roman"/>
          <w:color w:val="auto"/>
          <w:sz w:val="32"/>
          <w:szCs w:val="32"/>
          <w:highlight w:val="none"/>
        </w:rPr>
        <w:t>员工的法律意识和风险防范能力</w:t>
      </w:r>
      <w:r>
        <w:rPr>
          <w:rFonts w:hint="default" w:ascii="Times New Roman" w:hAnsi="Times New Roman" w:eastAsia="仿宋_GB2312" w:cs="Times New Roman"/>
          <w:color w:val="auto"/>
          <w:sz w:val="32"/>
          <w:szCs w:val="32"/>
          <w:highlight w:val="none"/>
          <w:lang w:eastAsia="zh-CN"/>
        </w:rPr>
        <w:t>。</w:t>
      </w:r>
    </w:p>
    <w:p>
      <w:pPr>
        <w:pStyle w:val="9"/>
        <w:keepNext w:val="0"/>
        <w:keepLines w:val="0"/>
        <w:pageBreakBefore w:val="0"/>
        <w:kinsoku/>
        <w:wordWrap/>
        <w:overflowPunct/>
        <w:topLinePunct w:val="0"/>
        <w:autoSpaceDE/>
        <w:autoSpaceDN/>
        <w:bidi w:val="0"/>
        <w:spacing w:line="560" w:lineRule="exact"/>
        <w:ind w:left="0" w:leftChars="0" w:firstLine="640" w:firstLineChars="2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国富投资集团所属恒银期货公司开展“法治为民办实事”常态化法治宣传活动。2023年，联合东风派出所及吕建江综合警务服务站对辖区四个社区及过往居民进行了非法集资、电信诈骗、金融网络安全、反洗钱金融网络安全、刑法修正案和民法典推广系列法治宣传活动。2023年共开展线下线上反洗钱宣传40余次，线上共计发布反洗钱相关文章104篇</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通过普法宣传共同守护好老百姓的“钱袋子”。</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left"/>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投资者教育、校企合作</w:t>
      </w:r>
      <w:r>
        <w:rPr>
          <w:rFonts w:hint="default"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富投资集团所属恒银期货公司实体投资者教育基地进入试运行阶段。投教基地占地约100m²,共设河北期货地图、期货市场发展史、期货期权品种、期货服务实体企业等17个板块，接待了省市相关领导、实体企业、普通投资者、在校师生500余人次，</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投资者全面了解期货市场</w:t>
      </w:r>
      <w:r>
        <w:rPr>
          <w:rFonts w:hint="eastAsia" w:ascii="Times New Roman" w:hAnsi="Times New Roman" w:eastAsia="仿宋_GB2312" w:cs="Times New Roman"/>
          <w:color w:val="auto"/>
          <w:sz w:val="32"/>
          <w:szCs w:val="32"/>
          <w:highlight w:val="none"/>
          <w:lang w:val="en-US" w:eastAsia="zh-CN"/>
        </w:rPr>
        <w:t>提供了</w:t>
      </w:r>
      <w:r>
        <w:rPr>
          <w:rFonts w:hint="default" w:ascii="Times New Roman" w:hAnsi="Times New Roman" w:eastAsia="仿宋_GB2312" w:cs="Times New Roman"/>
          <w:color w:val="auto"/>
          <w:sz w:val="32"/>
          <w:szCs w:val="32"/>
          <w:highlight w:val="none"/>
          <w:lang w:val="en-US" w:eastAsia="zh-CN"/>
        </w:rPr>
        <w:t>良好</w:t>
      </w:r>
      <w:r>
        <w:rPr>
          <w:rFonts w:hint="eastAsia" w:ascii="Times New Roman" w:hAnsi="Times New Roman" w:eastAsia="仿宋_GB2312" w:cs="Times New Roman"/>
          <w:color w:val="auto"/>
          <w:sz w:val="32"/>
          <w:szCs w:val="32"/>
          <w:highlight w:val="none"/>
          <w:lang w:val="en-US" w:eastAsia="zh-CN"/>
        </w:rPr>
        <w:t>平台</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恒银期货公司举办“3·15”“5·15”“金融消费者权益保护教育宣传月”等系列投资者教育专项宣传教育活动。积极联合省内高校开展期货知识进校园宣传活动，邀请省内高校师生到投教基地进行毕业实习。向广大青年学子传递正确认识金融的理念，推动投资者教育纳入国民教育体系。加强投资者专业度，提高公众的金融素质和风险意识，践行金融行业的社会职责。</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outlineLvl w:val="1"/>
        <w:rPr>
          <w:rFonts w:hint="default" w:ascii="Times New Roman" w:hAnsi="Times New Roman" w:eastAsia="仿宋_GB2312" w:cs="Times New Roman"/>
          <w:color w:val="auto"/>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海外履责</w:t>
      </w:r>
      <w:r>
        <w:rPr>
          <w:rFonts w:hint="eastAsia"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val="en-US" w:eastAsia="zh-CN"/>
        </w:rPr>
        <w:t>展现企业风采</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2023年，国富投资集团持续发挥服务企业境外上市融资职能，布局海外业务，扩大境外服务网络，做精现有境外上市服务业务，不断提升品牌影响力和集团海外影响力。</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集团公司按照“十四五”战略规划实施措施，依托所属国富香港公司打造境外上市服务平台，实施品牌提升战略，发挥好香港资本市场窗口公司的职能，紧密</w:t>
      </w:r>
      <w:r>
        <w:rPr>
          <w:rFonts w:hint="default" w:ascii="Times New Roman" w:hAnsi="Times New Roman" w:eastAsia="仿宋_GB2312" w:cs="Times New Roman"/>
          <w:color w:val="auto"/>
          <w:sz w:val="32"/>
          <w:szCs w:val="32"/>
          <w:highlight w:val="none"/>
        </w:rPr>
        <w:t>围绕“上市融资服务”主业，</w:t>
      </w:r>
      <w:r>
        <w:rPr>
          <w:rFonts w:hint="default" w:ascii="Times New Roman" w:hAnsi="Times New Roman" w:eastAsia="仿宋_GB2312" w:cs="Times New Roman"/>
          <w:color w:val="auto"/>
          <w:sz w:val="32"/>
          <w:szCs w:val="32"/>
          <w:highlight w:val="none"/>
          <w:lang w:val="en-US" w:eastAsia="zh-CN"/>
        </w:rPr>
        <w:t>加大市场推广力度。2023年度共储备优质项目6家，共</w:t>
      </w:r>
      <w:r>
        <w:rPr>
          <w:rFonts w:hint="default" w:ascii="Times New Roman" w:hAnsi="Times New Roman" w:eastAsia="仿宋_GB2312" w:cs="Times New Roman"/>
          <w:color w:val="auto"/>
          <w:sz w:val="32"/>
          <w:szCs w:val="32"/>
          <w:highlight w:val="none"/>
          <w:lang w:val="zh-CN" w:eastAsia="zh-CN"/>
        </w:rPr>
        <w:t>实现与</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eastAsia="zh-CN"/>
        </w:rPr>
        <w:t>家企业签订融资顾问合同，</w:t>
      </w:r>
      <w:r>
        <w:rPr>
          <w:rFonts w:hint="default" w:ascii="Times New Roman" w:hAnsi="Times New Roman" w:eastAsia="仿宋_GB2312" w:cs="Times New Roman"/>
          <w:color w:val="auto"/>
          <w:sz w:val="32"/>
          <w:szCs w:val="32"/>
          <w:highlight w:val="none"/>
          <w:lang w:val="en-US" w:eastAsia="zh-CN"/>
        </w:rPr>
        <w:t>为保障境外上市服务平台持续稳定发展打下坚实基础。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同时，集团公司强化与省地方金融监管局、各地市政府、省内国资国企业务沟通，2023年度依托所属国富香港公司组织开展境外上市业务宣讲普及培训交流2次，不断充实优质项目储备，促进冀港两地金融合作迈上新台阶。积极参加由香港中国企业协会组织的“中企服务进社会”等系列活动，全力支持特区政府改善民生，服务社区，公司所在的河北分会义工队荣获中企协“优秀义工队”银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sz w:val="32"/>
          <w:szCs w:val="32"/>
          <w:highlight w:val="none"/>
          <w:lang w:val="en-US" w:eastAsia="zh-CN"/>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未来展望</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展望 2024年，国富投资集团将继续以习近平新时代中国特色社会主义思想为指导，进一步深入贯彻落实党的二十大精神，认真落实省委省政府工作部署，完整、准确、全面贯彻新发展理念，坚持“稳中求进”总基调，保持战略定力，坚定必胜信心，以强烈的使命担当，强化组织实施，层层落实责任，以“一利稳定增长，五率持续优化”为目标，推进“六个国富”建设。聚焦战略管理，推动规划目标有效落地；加速提质增效，确保生产经营稳中有进；坚持党建引领，促进党建经营深度融合；着眼管理提升，切实提高企业治理效能；深化改革攻坚，充分释放发展动力活力；服务乡村振兴，扎实做好对口帮扶，强化责任国企建设；贯彻落实“十四五”生态环境保护规划，贡献绿色发展之力。加快建设特色鲜明、省内一流的专业化投资和金融服务集团，</w:t>
      </w:r>
      <w:r>
        <w:rPr>
          <w:rFonts w:hint="eastAsia" w:ascii="Times New Roman" w:hAnsi="Times New Roman" w:eastAsia="仿宋_GB2312" w:cs="Times New Roman"/>
          <w:color w:val="auto"/>
          <w:sz w:val="32"/>
          <w:szCs w:val="32"/>
          <w:highlight w:val="none"/>
          <w:lang w:val="en-US" w:eastAsia="zh-CN"/>
        </w:rPr>
        <w:t>谱写中国式现代化河北场景国富新篇章，</w:t>
      </w:r>
      <w:r>
        <w:rPr>
          <w:rFonts w:hint="default" w:ascii="Times New Roman" w:hAnsi="Times New Roman" w:eastAsia="仿宋_GB2312" w:cs="Times New Roman"/>
          <w:color w:val="auto"/>
          <w:sz w:val="32"/>
          <w:szCs w:val="32"/>
          <w:highlight w:val="none"/>
          <w:lang w:val="en-US" w:eastAsia="zh-CN"/>
        </w:rPr>
        <w:t>以优异成绩为全面建设社会主义现代化国家开好局、起好步作出新的更大贡献。</w:t>
      </w:r>
    </w:p>
    <w:p>
      <w:pPr>
        <w:rPr>
          <w:rFonts w:hint="default" w:ascii="Times New Roman" w:hAnsi="Times New Roman" w:cs="Times New Roman"/>
          <w:color w:val="auto"/>
          <w:highlight w:val="none"/>
          <w:lang w:val="en-US"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NzYwZWIwNTk1NWZkNzFiZGMzM2JhZTM0ODY1NTIifQ=="/>
  </w:docVars>
  <w:rsids>
    <w:rsidRoot w:val="00000000"/>
    <w:rsid w:val="004B48CF"/>
    <w:rsid w:val="010E37E2"/>
    <w:rsid w:val="01461A33"/>
    <w:rsid w:val="028A6807"/>
    <w:rsid w:val="02940271"/>
    <w:rsid w:val="02AA40D8"/>
    <w:rsid w:val="03CF75C5"/>
    <w:rsid w:val="04EE7A92"/>
    <w:rsid w:val="04FC088E"/>
    <w:rsid w:val="05383F82"/>
    <w:rsid w:val="055D062E"/>
    <w:rsid w:val="059E721D"/>
    <w:rsid w:val="07140131"/>
    <w:rsid w:val="087E38E9"/>
    <w:rsid w:val="08D365DE"/>
    <w:rsid w:val="09412D13"/>
    <w:rsid w:val="098A351C"/>
    <w:rsid w:val="09EA5159"/>
    <w:rsid w:val="0A064F63"/>
    <w:rsid w:val="0A484BD2"/>
    <w:rsid w:val="0AB50028"/>
    <w:rsid w:val="0AE02954"/>
    <w:rsid w:val="0B136931"/>
    <w:rsid w:val="0BCB54ED"/>
    <w:rsid w:val="0C4843B9"/>
    <w:rsid w:val="0CA13DED"/>
    <w:rsid w:val="0E5434E9"/>
    <w:rsid w:val="118D31F1"/>
    <w:rsid w:val="11AC3A82"/>
    <w:rsid w:val="11C57C64"/>
    <w:rsid w:val="11F02F30"/>
    <w:rsid w:val="13BE4ED6"/>
    <w:rsid w:val="14A84A1A"/>
    <w:rsid w:val="1563575D"/>
    <w:rsid w:val="15980F97"/>
    <w:rsid w:val="168770B4"/>
    <w:rsid w:val="17735542"/>
    <w:rsid w:val="17EC1532"/>
    <w:rsid w:val="18B85323"/>
    <w:rsid w:val="18CD0120"/>
    <w:rsid w:val="192D635F"/>
    <w:rsid w:val="1A136006"/>
    <w:rsid w:val="1B893D4E"/>
    <w:rsid w:val="1B9164E1"/>
    <w:rsid w:val="1B964872"/>
    <w:rsid w:val="1B9A52D6"/>
    <w:rsid w:val="1BC60F59"/>
    <w:rsid w:val="1D13631D"/>
    <w:rsid w:val="1D44401D"/>
    <w:rsid w:val="1E136484"/>
    <w:rsid w:val="1F04541E"/>
    <w:rsid w:val="1F220A99"/>
    <w:rsid w:val="1F74198D"/>
    <w:rsid w:val="1FC73751"/>
    <w:rsid w:val="20CA1664"/>
    <w:rsid w:val="20FD17BE"/>
    <w:rsid w:val="22D57F6D"/>
    <w:rsid w:val="22E83DA8"/>
    <w:rsid w:val="2357520A"/>
    <w:rsid w:val="23783597"/>
    <w:rsid w:val="245A6205"/>
    <w:rsid w:val="24B34E4E"/>
    <w:rsid w:val="25180F21"/>
    <w:rsid w:val="25DD0193"/>
    <w:rsid w:val="265E343F"/>
    <w:rsid w:val="27781BFF"/>
    <w:rsid w:val="27DC212D"/>
    <w:rsid w:val="296028EA"/>
    <w:rsid w:val="29771852"/>
    <w:rsid w:val="29A66742"/>
    <w:rsid w:val="29D27500"/>
    <w:rsid w:val="2A2E6452"/>
    <w:rsid w:val="2A815B34"/>
    <w:rsid w:val="2ACF2B31"/>
    <w:rsid w:val="2BA677C0"/>
    <w:rsid w:val="2BD22BE4"/>
    <w:rsid w:val="2C1B6F9C"/>
    <w:rsid w:val="2C275941"/>
    <w:rsid w:val="2D116CB7"/>
    <w:rsid w:val="2D3D6232"/>
    <w:rsid w:val="2E1350EF"/>
    <w:rsid w:val="2F101555"/>
    <w:rsid w:val="2F3D07C8"/>
    <w:rsid w:val="2F880DEC"/>
    <w:rsid w:val="2FAB0637"/>
    <w:rsid w:val="30C87203"/>
    <w:rsid w:val="312D4A21"/>
    <w:rsid w:val="32887846"/>
    <w:rsid w:val="328F4F0B"/>
    <w:rsid w:val="32A93554"/>
    <w:rsid w:val="331505F9"/>
    <w:rsid w:val="33AC2DF7"/>
    <w:rsid w:val="3474061F"/>
    <w:rsid w:val="3475190B"/>
    <w:rsid w:val="3583623B"/>
    <w:rsid w:val="36065FB0"/>
    <w:rsid w:val="37615A77"/>
    <w:rsid w:val="37D27B1D"/>
    <w:rsid w:val="38D130C2"/>
    <w:rsid w:val="38D87A7A"/>
    <w:rsid w:val="3A0948D8"/>
    <w:rsid w:val="3AFF5927"/>
    <w:rsid w:val="3AFF6407"/>
    <w:rsid w:val="3B084B8F"/>
    <w:rsid w:val="3B920E90"/>
    <w:rsid w:val="3C7C4CA3"/>
    <w:rsid w:val="3C8B75B2"/>
    <w:rsid w:val="3D2D5100"/>
    <w:rsid w:val="3D9432F8"/>
    <w:rsid w:val="3E5003E2"/>
    <w:rsid w:val="3EC314F9"/>
    <w:rsid w:val="3EC87958"/>
    <w:rsid w:val="3EEE79AA"/>
    <w:rsid w:val="3EF21DDE"/>
    <w:rsid w:val="3F0F17F8"/>
    <w:rsid w:val="3F32155A"/>
    <w:rsid w:val="3F486A5E"/>
    <w:rsid w:val="40694322"/>
    <w:rsid w:val="406C7E62"/>
    <w:rsid w:val="40707C1F"/>
    <w:rsid w:val="40DC34A0"/>
    <w:rsid w:val="41524DB6"/>
    <w:rsid w:val="41FD3881"/>
    <w:rsid w:val="42644DA1"/>
    <w:rsid w:val="427E4D08"/>
    <w:rsid w:val="430147C1"/>
    <w:rsid w:val="44840F1C"/>
    <w:rsid w:val="450E7246"/>
    <w:rsid w:val="458E5786"/>
    <w:rsid w:val="4597548E"/>
    <w:rsid w:val="46492C2C"/>
    <w:rsid w:val="467441BA"/>
    <w:rsid w:val="46973CFB"/>
    <w:rsid w:val="470441DC"/>
    <w:rsid w:val="470520C2"/>
    <w:rsid w:val="477B5FDF"/>
    <w:rsid w:val="48036E0A"/>
    <w:rsid w:val="485A621C"/>
    <w:rsid w:val="4950607F"/>
    <w:rsid w:val="496D6C31"/>
    <w:rsid w:val="49945ADC"/>
    <w:rsid w:val="49F57CBA"/>
    <w:rsid w:val="4A1B672A"/>
    <w:rsid w:val="4B6869C0"/>
    <w:rsid w:val="4C0D2006"/>
    <w:rsid w:val="4DA41DEF"/>
    <w:rsid w:val="4E25051C"/>
    <w:rsid w:val="4E5008D0"/>
    <w:rsid w:val="4ED43345"/>
    <w:rsid w:val="4F2204BE"/>
    <w:rsid w:val="4F2547D9"/>
    <w:rsid w:val="4FFD3504"/>
    <w:rsid w:val="50216BE5"/>
    <w:rsid w:val="509639DF"/>
    <w:rsid w:val="515B3A1C"/>
    <w:rsid w:val="51AB479B"/>
    <w:rsid w:val="53201D84"/>
    <w:rsid w:val="532E1C4F"/>
    <w:rsid w:val="532F4F57"/>
    <w:rsid w:val="54845FBB"/>
    <w:rsid w:val="55800F7C"/>
    <w:rsid w:val="55865164"/>
    <w:rsid w:val="55C9014A"/>
    <w:rsid w:val="55CA70E8"/>
    <w:rsid w:val="55FA39FC"/>
    <w:rsid w:val="5627460C"/>
    <w:rsid w:val="56384CB3"/>
    <w:rsid w:val="57545875"/>
    <w:rsid w:val="57767C95"/>
    <w:rsid w:val="57CE331C"/>
    <w:rsid w:val="59DD395F"/>
    <w:rsid w:val="5A897643"/>
    <w:rsid w:val="5AC84BF9"/>
    <w:rsid w:val="5BB16E51"/>
    <w:rsid w:val="5C2A5B59"/>
    <w:rsid w:val="5E1171F1"/>
    <w:rsid w:val="5E3C0430"/>
    <w:rsid w:val="5E5A37D0"/>
    <w:rsid w:val="5E700844"/>
    <w:rsid w:val="600647A6"/>
    <w:rsid w:val="613C0289"/>
    <w:rsid w:val="620C3034"/>
    <w:rsid w:val="629B71A6"/>
    <w:rsid w:val="62BD7DEC"/>
    <w:rsid w:val="66094DDC"/>
    <w:rsid w:val="664C244A"/>
    <w:rsid w:val="66DE4887"/>
    <w:rsid w:val="67310E46"/>
    <w:rsid w:val="687E72C0"/>
    <w:rsid w:val="696556C4"/>
    <w:rsid w:val="69A81F32"/>
    <w:rsid w:val="69D106BF"/>
    <w:rsid w:val="6A4160A0"/>
    <w:rsid w:val="6A5F78BF"/>
    <w:rsid w:val="6B8D6867"/>
    <w:rsid w:val="6C3867D3"/>
    <w:rsid w:val="6D62756E"/>
    <w:rsid w:val="6E6F4B91"/>
    <w:rsid w:val="6FD406FC"/>
    <w:rsid w:val="6FE47886"/>
    <w:rsid w:val="70425E72"/>
    <w:rsid w:val="715603D7"/>
    <w:rsid w:val="71F032DC"/>
    <w:rsid w:val="72025DFD"/>
    <w:rsid w:val="72127AC6"/>
    <w:rsid w:val="72D74F98"/>
    <w:rsid w:val="72FF629D"/>
    <w:rsid w:val="74021C59"/>
    <w:rsid w:val="74210BD5"/>
    <w:rsid w:val="744A4EEB"/>
    <w:rsid w:val="746576BD"/>
    <w:rsid w:val="746C2CEC"/>
    <w:rsid w:val="749A6B73"/>
    <w:rsid w:val="74BB5EB5"/>
    <w:rsid w:val="74EC671B"/>
    <w:rsid w:val="755503F6"/>
    <w:rsid w:val="75C335B1"/>
    <w:rsid w:val="761402B1"/>
    <w:rsid w:val="76C00701"/>
    <w:rsid w:val="792667DE"/>
    <w:rsid w:val="7A3C4099"/>
    <w:rsid w:val="7AD84CD2"/>
    <w:rsid w:val="7AFD1314"/>
    <w:rsid w:val="7C280612"/>
    <w:rsid w:val="7C2D6356"/>
    <w:rsid w:val="7C4E1802"/>
    <w:rsid w:val="7D4827B1"/>
    <w:rsid w:val="7DA83303"/>
    <w:rsid w:val="7DCF7735"/>
    <w:rsid w:val="7E062BD5"/>
    <w:rsid w:val="7F2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afterAutospacing="0" w:line="560" w:lineRule="exact"/>
    </w:pPr>
    <w:rPr>
      <w:rFonts w:eastAsia="仿宋_GB2312" w:asciiTheme="minorAscii" w:hAnsiTheme="minorAscii"/>
      <w:sz w:val="32"/>
    </w:r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1"/>
    <w:unhideWhenUsed/>
    <w:qFormat/>
    <w:uiPriority w:val="99"/>
    <w:pPr>
      <w:ind w:firstLine="420" w:firstLine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rPr>
      <w:rFonts w:hint="eastAsia"/>
      <w:szCs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paragraph" w:customStyle="1" w:styleId="14">
    <w:name w:val="Body Text Indent1"/>
    <w:basedOn w:val="1"/>
    <w:qFormat/>
    <w:uiPriority w:val="0"/>
    <w:pPr>
      <w:spacing w:after="120" w:afterLines="0"/>
      <w:ind w:left="420" w:leftChars="200"/>
    </w:pPr>
  </w:style>
  <w:style w:type="paragraph" w:customStyle="1" w:styleId="15">
    <w:name w:val="BodyTextIndent"/>
    <w:basedOn w:val="1"/>
    <w:qFormat/>
    <w:uiPriority w:val="0"/>
    <w:pPr>
      <w:spacing w:after="120"/>
      <w:ind w:left="420" w:leftChars="200"/>
    </w:p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13780</Words>
  <Characters>14809</Characters>
  <Lines>0</Lines>
  <Paragraphs>0</Paragraphs>
  <TotalTime>475</TotalTime>
  <ScaleCrop>false</ScaleCrop>
  <LinksUpToDate>false</LinksUpToDate>
  <CharactersWithSpaces>14990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2024-05-11T03:18:00Z</dcterms:created>
  <dc:creator>GUOFU007</dc:creator>
  <cp:lastModifiedBy>LENOVOJ</cp:lastModifiedBy>
  <cp:lastPrinted>2024-05-28T08:20:00Z</cp:lastPrinted>
  <dcterms:modified xsi:type="dcterms:W3CDTF">2024-06-28T01:01:38Z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A3DEFBAC76B743A19D40074362A1795C_12</vt:lpwstr>
  </property>
</Properties>
</file>